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210B1" w14:textId="34F99957" w:rsidR="0059611B" w:rsidRPr="00B04693" w:rsidRDefault="0020350A" w:rsidP="004B0790">
      <w:pPr>
        <w:pStyle w:val="Heading1"/>
        <w:spacing w:after="160"/>
        <w:contextualSpacing/>
      </w:pPr>
      <w:r w:rsidRPr="00F16367">
        <w:t>Transcript for the CBR</w:t>
      </w:r>
      <w:r w:rsidR="00EB6766" w:rsidRPr="00F16367">
        <w:t>20</w:t>
      </w:r>
      <w:r w:rsidR="005C0ECE">
        <w:t>200</w:t>
      </w:r>
      <w:r w:rsidR="006A2C7A">
        <w:t>8</w:t>
      </w:r>
      <w:r w:rsidR="00E43549">
        <w:t>:</w:t>
      </w:r>
      <w:r w:rsidR="00251026">
        <w:t xml:space="preserve"> </w:t>
      </w:r>
      <w:r w:rsidR="00251026">
        <w:br/>
      </w:r>
      <w:r w:rsidR="006A2C7A">
        <w:t>Breast Re-Excision</w:t>
      </w:r>
    </w:p>
    <w:p w14:paraId="06311C19" w14:textId="496B8010"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Welcome to today’s webinar, where we’ll be discussing Comparative Billing Reports, or CBRs, and more specifically, </w:t>
      </w:r>
      <w:r w:rsidRPr="006A2C7A">
        <w:rPr>
          <w:rFonts w:asciiTheme="minorHAnsi" w:hAnsiTheme="minorHAnsi" w:cstheme="minorHAnsi"/>
          <w:i/>
          <w:iCs/>
        </w:rPr>
        <w:t>CBR202008</w:t>
      </w:r>
      <w:r w:rsidR="00AC64C3">
        <w:rPr>
          <w:rFonts w:asciiTheme="minorHAnsi" w:hAnsiTheme="minorHAnsi" w:cstheme="minorHAnsi"/>
          <w:i/>
          <w:iCs/>
        </w:rPr>
        <w:t>:</w:t>
      </w:r>
      <w:r w:rsidRPr="006A2C7A">
        <w:rPr>
          <w:rFonts w:asciiTheme="minorHAnsi" w:hAnsiTheme="minorHAnsi" w:cstheme="minorHAnsi"/>
          <w:i/>
          <w:iCs/>
        </w:rPr>
        <w:t xml:space="preserve"> Breast Re-Excision</w:t>
      </w:r>
      <w:r w:rsidRPr="006A2C7A">
        <w:rPr>
          <w:rFonts w:asciiTheme="minorHAnsi" w:hAnsiTheme="minorHAnsi" w:cstheme="minorHAnsi"/>
        </w:rPr>
        <w:t>. My name is Annie Barnaby, and I work for RELI Group</w:t>
      </w:r>
      <w:r w:rsidR="004B3859">
        <w:rPr>
          <w:rFonts w:asciiTheme="minorHAnsi" w:hAnsiTheme="minorHAnsi" w:cstheme="minorHAnsi"/>
        </w:rPr>
        <w:t>,</w:t>
      </w:r>
      <w:r w:rsidRPr="006A2C7A">
        <w:rPr>
          <w:rFonts w:asciiTheme="minorHAnsi" w:hAnsiTheme="minorHAnsi" w:cstheme="minorHAnsi"/>
        </w:rPr>
        <w:t xml:space="preserve"> Inc</w:t>
      </w:r>
      <w:r w:rsidR="004B3859">
        <w:rPr>
          <w:rFonts w:asciiTheme="minorHAnsi" w:hAnsiTheme="minorHAnsi" w:cstheme="minorHAnsi"/>
        </w:rPr>
        <w:t>.</w:t>
      </w:r>
      <w:r w:rsidRPr="006A2C7A">
        <w:rPr>
          <w:rFonts w:asciiTheme="minorHAnsi" w:hAnsiTheme="minorHAnsi" w:cstheme="minorHAnsi"/>
        </w:rPr>
        <w:t xml:space="preserve">, who is contracted with Centers for Medicare </w:t>
      </w:r>
      <w:r w:rsidR="004B3859">
        <w:rPr>
          <w:rFonts w:asciiTheme="minorHAnsi" w:hAnsiTheme="minorHAnsi" w:cstheme="minorHAnsi"/>
        </w:rPr>
        <w:t>&amp;</w:t>
      </w:r>
      <w:r w:rsidRPr="006A2C7A">
        <w:rPr>
          <w:rFonts w:asciiTheme="minorHAnsi" w:hAnsiTheme="minorHAnsi" w:cstheme="minorHAnsi"/>
        </w:rPr>
        <w:t xml:space="preserve"> Medicaid Services (CMS) to develop, produce, and distribute CBR reports.</w:t>
      </w:r>
    </w:p>
    <w:p w14:paraId="250FA8E6"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We’ve developed various resources to accompany this webinar, and those resources are listed here for your convenience. We do have the webinar slides available to you, recording of this session, of course. We have handouts, and of course the Q&amp;A and CBR Help Desk are great tools to use if you have any questions. We’re here to help, so don’t be shy about reaching out to us!</w:t>
      </w:r>
    </w:p>
    <w:p w14:paraId="64CF53C6" w14:textId="25C6829C"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The objectives of today’s webinar will be to understand the purpose and use of Comparative Billing Reports, CBRs, to explain the function of this specific Comparative Billing Report </w:t>
      </w:r>
      <w:r w:rsidRPr="006A2C7A">
        <w:rPr>
          <w:rFonts w:asciiTheme="minorHAnsi" w:hAnsiTheme="minorHAnsi" w:cstheme="minorHAnsi"/>
          <w:i/>
          <w:iCs/>
        </w:rPr>
        <w:t>CBR202008</w:t>
      </w:r>
      <w:r w:rsidR="00AC64C3">
        <w:rPr>
          <w:rFonts w:asciiTheme="minorHAnsi" w:hAnsiTheme="minorHAnsi" w:cstheme="minorHAnsi"/>
          <w:i/>
          <w:iCs/>
        </w:rPr>
        <w:t>:</w:t>
      </w:r>
      <w:r w:rsidRPr="006A2C7A">
        <w:rPr>
          <w:rFonts w:asciiTheme="minorHAnsi" w:hAnsiTheme="minorHAnsi" w:cstheme="minorHAnsi"/>
          <w:i/>
          <w:iCs/>
        </w:rPr>
        <w:t xml:space="preserve"> Breast Re-Excisions</w:t>
      </w:r>
      <w:r w:rsidRPr="006A2C7A">
        <w:rPr>
          <w:rFonts w:asciiTheme="minorHAnsi" w:hAnsiTheme="minorHAnsi" w:cstheme="minorHAnsi"/>
        </w:rPr>
        <w:t xml:space="preserve">, and to help you gather resources that will help answer further questions and inquiries. </w:t>
      </w:r>
    </w:p>
    <w:p w14:paraId="00CDB311"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To accomplish those objectives, our discussion today will cover the following areas. First, we’ll talk about what a comparative billing report, CBR, is. I will show you how to access your CBR. I do have a sample CBR that we will review, so that we can get a good sense of what we’re looking at when we review a CBR. Then, we will go into a discussion of this CBR, and go through the details of the topic and metrics for </w:t>
      </w:r>
      <w:r w:rsidRPr="006A2C7A">
        <w:rPr>
          <w:rFonts w:asciiTheme="minorHAnsi" w:hAnsiTheme="minorHAnsi" w:cstheme="minorHAnsi"/>
          <w:i/>
          <w:iCs/>
        </w:rPr>
        <w:t>CBR202008</w:t>
      </w:r>
      <w:r w:rsidRPr="006A2C7A">
        <w:rPr>
          <w:rFonts w:asciiTheme="minorHAnsi" w:hAnsiTheme="minorHAnsi" w:cstheme="minorHAnsi"/>
        </w:rPr>
        <w:t>. And finally, I will show you some helpful resources, should you have any questions following the webinar. So, let’s get started!</w:t>
      </w:r>
    </w:p>
    <w:p w14:paraId="6E5B485F" w14:textId="432F1792" w:rsidR="006A2C7A" w:rsidRPr="006A2C7A" w:rsidRDefault="006A2C7A" w:rsidP="00251026">
      <w:pPr>
        <w:rPr>
          <w:rFonts w:asciiTheme="minorHAnsi" w:hAnsiTheme="minorHAnsi" w:cstheme="minorHAnsi"/>
        </w:rPr>
      </w:pPr>
      <w:r w:rsidRPr="006A2C7A">
        <w:rPr>
          <w:rFonts w:asciiTheme="minorHAnsi" w:hAnsiTheme="minorHAnsi" w:cstheme="minorHAnsi"/>
        </w:rPr>
        <w:t>Let’s start at the very beginning; what is a CBR? Well, CBR stands for Comparative Billing Report. And, according to the CMS definition, a CBR is a free, comparative data report, that can be used as an educational resource, and a tool that providers can use for possible improvement. A CBR is truly just what the titles says</w:t>
      </w:r>
      <w:r w:rsidR="009F28B3">
        <w:rPr>
          <w:rFonts w:asciiTheme="minorHAnsi" w:hAnsiTheme="minorHAnsi" w:cstheme="minorHAnsi"/>
        </w:rPr>
        <w:t xml:space="preserve"> </w:t>
      </w:r>
      <w:r w:rsidRPr="006A2C7A">
        <w:rPr>
          <w:rFonts w:asciiTheme="minorHAnsi" w:hAnsiTheme="minorHAnsi" w:cstheme="minorHAnsi"/>
        </w:rPr>
        <w:t>—</w:t>
      </w:r>
      <w:r w:rsidR="009F28B3">
        <w:rPr>
          <w:rFonts w:asciiTheme="minorHAnsi" w:hAnsiTheme="minorHAnsi" w:cstheme="minorHAnsi"/>
        </w:rPr>
        <w:t xml:space="preserve"> </w:t>
      </w:r>
      <w:r w:rsidRPr="006A2C7A">
        <w:rPr>
          <w:rFonts w:asciiTheme="minorHAnsi" w:hAnsiTheme="minorHAnsi" w:cstheme="minorHAnsi"/>
        </w:rPr>
        <w:t>a report that compares providers on a state or specialty and nationwide level, and summarizes one provider’s Medicare claims data statistics for areas that may be at risk for improper Medicare payment. Primarily in terms of whether the claim was correctly coded and billed and whether the treatment provided to the patient was necessary and in line with Medicare payment policy. A CBR cannot identify improper payments, but it can alert providers if their billing statistics look unusual as compared to their peers.</w:t>
      </w:r>
    </w:p>
    <w:p w14:paraId="3EF4635E" w14:textId="591D5B8A" w:rsidR="006A2C7A" w:rsidRPr="006A2C7A" w:rsidRDefault="006A2C7A" w:rsidP="00251026">
      <w:pPr>
        <w:rPr>
          <w:rFonts w:asciiTheme="minorHAnsi" w:hAnsiTheme="minorHAnsi" w:cstheme="minorHAnsi"/>
        </w:rPr>
      </w:pPr>
      <w:r w:rsidRPr="006A2C7A">
        <w:rPr>
          <w:rFonts w:asciiTheme="minorHAnsi" w:hAnsiTheme="minorHAnsi" w:cstheme="minorHAnsi"/>
        </w:rPr>
        <w:t>Taking a look at the history of the CBR, we can see that this program was spearheaded in 2010.  In 2018, CMS combined t</w:t>
      </w:r>
      <w:r w:rsidR="00251026">
        <w:rPr>
          <w:rFonts w:asciiTheme="minorHAnsi" w:hAnsiTheme="minorHAnsi" w:cstheme="minorHAnsi"/>
        </w:rPr>
        <w:t>he CBR program with the PEPPER p</w:t>
      </w:r>
      <w:r w:rsidRPr="006A2C7A">
        <w:rPr>
          <w:rFonts w:asciiTheme="minorHAnsi" w:hAnsiTheme="minorHAnsi" w:cstheme="minorHAnsi"/>
        </w:rPr>
        <w:t xml:space="preserve">rogram, which is the Program for Evaluating Payment Pattern Electronic Reports, to put both programs under one contract. And </w:t>
      </w:r>
      <w:r w:rsidRPr="006A2C7A">
        <w:rPr>
          <w:rFonts w:asciiTheme="minorHAnsi" w:hAnsiTheme="minorHAnsi" w:cstheme="minorHAnsi"/>
        </w:rPr>
        <w:lastRenderedPageBreak/>
        <w:t xml:space="preserve">then, beginning in 2019, RELI Group has partnered with TMF and CGS to create and distribute CBRs and PEPPERs. </w:t>
      </w:r>
    </w:p>
    <w:p w14:paraId="4094E018" w14:textId="1737B5A9" w:rsidR="006A2C7A" w:rsidRPr="006A2C7A" w:rsidRDefault="006A2C7A" w:rsidP="00251026">
      <w:pPr>
        <w:rPr>
          <w:rFonts w:asciiTheme="minorHAnsi" w:hAnsiTheme="minorHAnsi" w:cstheme="minorHAnsi"/>
        </w:rPr>
      </w:pPr>
      <w:r w:rsidRPr="006A2C7A">
        <w:rPr>
          <w:rFonts w:asciiTheme="minorHAnsi" w:hAnsiTheme="minorHAnsi" w:cstheme="minorHAnsi"/>
        </w:rPr>
        <w:t>Now that we have a sense of the history of the CBR, we can discuss why CMS issues CBRs. Well, CMS is mandated and required by law to protect the Trust Fund from any improper payments, or anything else that may compromise the Trust Fund. CMS employs a number of strategies to meet this goal, which include education of providers, early detection through medical review, and data analysis. And CMS considers the CBR process to be an educational tool that supports their efforts to protect the trust fund. CBRs serve several purposes on the provider side as well. The CBR program helps to support the integrity of claims submission, and the adherence to coding guidelines. This helps to encourage correct clinical billing. Early detection of any outliers in your billing processes can help to guide a compliance program that will help to support compliant oper</w:t>
      </w:r>
      <w:r w:rsidR="009F28B3">
        <w:rPr>
          <w:rFonts w:asciiTheme="minorHAnsi" w:hAnsiTheme="minorHAnsi" w:cstheme="minorHAnsi"/>
        </w:rPr>
        <w:t>ations in your own organization</w:t>
      </w:r>
      <w:r w:rsidRPr="006A2C7A">
        <w:rPr>
          <w:rFonts w:asciiTheme="minorHAnsi" w:hAnsiTheme="minorHAnsi" w:cstheme="minorHAnsi"/>
        </w:rPr>
        <w:t>, and taking a closer look at specific coding guidelines and billing procedures can increase education and improve future billing practices.</w:t>
      </w:r>
    </w:p>
    <w:p w14:paraId="2A65D57B" w14:textId="4810A6E1" w:rsidR="006A2C7A" w:rsidRPr="006A2C7A" w:rsidRDefault="006A2C7A" w:rsidP="00251026">
      <w:pPr>
        <w:rPr>
          <w:rFonts w:asciiTheme="minorHAnsi" w:hAnsiTheme="minorHAnsi" w:cstheme="minorHAnsi"/>
        </w:rPr>
      </w:pPr>
      <w:r w:rsidRPr="006A2C7A">
        <w:rPr>
          <w:rFonts w:asciiTheme="minorHAnsi" w:hAnsiTheme="minorHAnsi" w:cstheme="minorHAnsi"/>
        </w:rPr>
        <w:t>You may be asking yourself why do providers receive CBR reports? A CBR is presented to a provider when the analysis of their billing patterns differs from the provider’s peers on a state, specialty</w:t>
      </w:r>
      <w:r w:rsidR="009F28B3">
        <w:rPr>
          <w:rFonts w:asciiTheme="minorHAnsi" w:hAnsiTheme="minorHAnsi" w:cstheme="minorHAnsi"/>
        </w:rPr>
        <w:t>,</w:t>
      </w:r>
      <w:r w:rsidRPr="006A2C7A">
        <w:rPr>
          <w:rFonts w:asciiTheme="minorHAnsi" w:hAnsiTheme="minorHAnsi" w:cstheme="minorHAnsi"/>
        </w:rPr>
        <w:t xml:space="preserve"> and/or a nationwide level. The analysis of providers’ billing patterns is completed through each CBR topic, and each CBR is distributed to providers based on individual provider results for specified metrics within the CBR. The metrics for every CBR are created according to the CBR topic and the potential risk to the Trust Fund. It is important to always remember that receiving a CBR is </w:t>
      </w:r>
      <w:r>
        <w:rPr>
          <w:rFonts w:asciiTheme="minorHAnsi" w:hAnsiTheme="minorHAnsi" w:cstheme="minorHAnsi"/>
        </w:rPr>
        <w:t>not</w:t>
      </w:r>
      <w:r w:rsidRPr="006A2C7A">
        <w:rPr>
          <w:rFonts w:asciiTheme="minorHAnsi" w:hAnsiTheme="minorHAnsi" w:cstheme="minorHAnsi"/>
        </w:rPr>
        <w:t xml:space="preserve"> in any way an indication of, or precursor to, an audit.</w:t>
      </w:r>
    </w:p>
    <w:p w14:paraId="1FBBA494"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I am going to walk through the steps of accessing your report, if you received one, so we can see exactly how that’s done. This page, cbrfile.cbrpepper.org, contains the portal that you’ll use to access your CBR. The portal does require that you enter some information; and I’m going to open this page on my screen to show you exactly what it looks like when a CBR is accessed in this way. </w:t>
      </w:r>
    </w:p>
    <w:p w14:paraId="7CA593E2"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First, we’ll indicate the role that we play within the healthcare organization for the physician or physicians who received a CBR. I’m going to indicate that I am the CEO of the organization, and by doing so, I am indicating that I have the authority to receive the CBR information, and that I understand that I am authorized to view this confidential information.  </w:t>
      </w:r>
    </w:p>
    <w:p w14:paraId="7727484C"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Next, I’ll complete these two forms to indicate my information, and the provider information. To access this test CBR, I of course have used “test” data to complete these forms, but you’ll use the correct information here to complete them.</w:t>
      </w:r>
    </w:p>
    <w:p w14:paraId="390D8DE9"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Following these forms, we’re going to indicate how we heard about the CBR that is available for the physician or physicians. This section of the access form is most telling to us, and helps us to know which form of alert is working best to reach the most physicians for their CBR alert. First on the list indicates that you received an email, a fax, or a letter. These would be </w:t>
      </w:r>
      <w:r w:rsidRPr="006A2C7A">
        <w:rPr>
          <w:rFonts w:asciiTheme="minorHAnsi" w:hAnsiTheme="minorHAnsi" w:cstheme="minorHAnsi"/>
        </w:rPr>
        <w:lastRenderedPageBreak/>
        <w:t>communications that came to the contact information that is listed in the Provider Enrollment, Chain and Ownership system, that’s commonly known as PECOS. We do encourage everyone to confirm their PECOS information, and update if necessary, so that we can contact the appropriate person regarding CBR information. Confirming this information several times a year allows for that contact information to stay up to date, and lessens any issues that may arise.</w:t>
      </w:r>
    </w:p>
    <w:p w14:paraId="5809F8B0"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Next on this list is indication that you saw a tweet that we sent out about the CBR program.  We do tweet about the CBR releases, and about these webinars, so if you saw the tweet, and that led you to check out the CBR program, we’d love to know that.</w:t>
      </w:r>
    </w:p>
    <w:p w14:paraId="11965800" w14:textId="55B07FB6" w:rsidR="006A2C7A" w:rsidRPr="006A2C7A" w:rsidRDefault="006A2C7A" w:rsidP="00251026">
      <w:pPr>
        <w:rPr>
          <w:rFonts w:asciiTheme="minorHAnsi" w:hAnsiTheme="minorHAnsi" w:cstheme="minorHAnsi"/>
        </w:rPr>
      </w:pPr>
      <w:r w:rsidRPr="006A2C7A">
        <w:rPr>
          <w:rFonts w:asciiTheme="minorHAnsi" w:hAnsiTheme="minorHAnsi" w:cstheme="minorHAnsi"/>
        </w:rPr>
        <w:t>The next two entries, provider or professional association, or MAC notice, are indications of our work a</w:t>
      </w:r>
      <w:r w:rsidR="009F28B3">
        <w:rPr>
          <w:rFonts w:asciiTheme="minorHAnsi" w:hAnsiTheme="minorHAnsi" w:cstheme="minorHAnsi"/>
        </w:rPr>
        <w:t>longside the groups and the MACs</w:t>
      </w:r>
      <w:r w:rsidRPr="006A2C7A">
        <w:rPr>
          <w:rFonts w:asciiTheme="minorHAnsi" w:hAnsiTheme="minorHAnsi" w:cstheme="minorHAnsi"/>
        </w:rPr>
        <w:t xml:space="preserve"> that are so supportive of provider billing, and information distribution. We are very appreciative whenever MACs are involved in spreading the word about the CBR program, and similarly when a professional association recognizes the importance of the CBR program and the information that we distribute. </w:t>
      </w:r>
    </w:p>
    <w:p w14:paraId="4FBAA63B"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We do have one alternative option, “other,” and if that option applies, of course, please indicate as such.</w:t>
      </w:r>
    </w:p>
    <w:p w14:paraId="4688020B"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I’m going to indicate that I received an email.</w:t>
      </w:r>
    </w:p>
    <w:p w14:paraId="6179F6CA"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At the bottom of the form, we ask for the provider’s NPI number. This will be the NPI for the specific provider who received the CBR. And I, of course, am using a standard test code for the NPI number.</w:t>
      </w:r>
    </w:p>
    <w:p w14:paraId="1EFD7F79" w14:textId="2DEC2B69"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Then at the bottom of the form, we finally have the </w:t>
      </w:r>
      <w:r w:rsidR="009F28B3" w:rsidRPr="006A2C7A">
        <w:rPr>
          <w:rFonts w:asciiTheme="minorHAnsi" w:hAnsiTheme="minorHAnsi" w:cstheme="minorHAnsi"/>
        </w:rPr>
        <w:t>validation code.</w:t>
      </w:r>
      <w:r w:rsidRPr="006A2C7A">
        <w:rPr>
          <w:rFonts w:asciiTheme="minorHAnsi" w:hAnsiTheme="minorHAnsi" w:cstheme="minorHAnsi"/>
        </w:rPr>
        <w:t xml:space="preserve"> When a provider receives an alert that they have a CBR on file, a validation code is included with that alert information.  So, again, check the information on the emailed alert, the faxed alert, the letter to confirm your validation code. If you are sure that an individual provider was issued a CBR, but you are unsure of the validation code, please submit a ticket to our </w:t>
      </w:r>
      <w:r w:rsidR="00251026" w:rsidRPr="006A2C7A">
        <w:rPr>
          <w:rFonts w:asciiTheme="minorHAnsi" w:hAnsiTheme="minorHAnsi" w:cstheme="minorHAnsi"/>
        </w:rPr>
        <w:t>Help Desk</w:t>
      </w:r>
      <w:r w:rsidRPr="006A2C7A">
        <w:rPr>
          <w:rFonts w:asciiTheme="minorHAnsi" w:hAnsiTheme="minorHAnsi" w:cstheme="minorHAnsi"/>
        </w:rPr>
        <w:t xml:space="preserve"> and we can assist with resolving that issue.</w:t>
      </w:r>
    </w:p>
    <w:p w14:paraId="7E10017F"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So, I’m going to complete the form, and hit then submit. And here we have the sample CBR file that appears. And your CBR will appear in the same fashion, in PDF format ready for your review.  </w:t>
      </w:r>
    </w:p>
    <w:p w14:paraId="47165C59"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This page, cbrpepper.org, is another page that you can use to access your CBR. If you click on the “Access your CBR” button highlighted here with the purple arrow, you’ll be directed to the page that we just reviewed, the portal, and you can begin the steps we just covered.  </w:t>
      </w:r>
    </w:p>
    <w:p w14:paraId="3FE19BDF"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So, we’ve seen how to access the CBR report; let’s now take a closer look now at the sample document, so we can fully understand this CBR, it’s metrics, outcomes, and comparisons. </w:t>
      </w:r>
    </w:p>
    <w:p w14:paraId="4D25962C"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The results shown on this CBR will of course differ from those on your CBR, if you received one, but the formatting and sections on your CBR will be consistent with the layout of this sample </w:t>
      </w:r>
      <w:r w:rsidRPr="006A2C7A">
        <w:rPr>
          <w:rFonts w:asciiTheme="minorHAnsi" w:hAnsiTheme="minorHAnsi" w:cstheme="minorHAnsi"/>
        </w:rPr>
        <w:lastRenderedPageBreak/>
        <w:t xml:space="preserve">document. This CBR is formatted into five sections, which help to focus on the process and results of the CBR. Let’s go now to the sample document, so we can follow along and look as we talk about each section. </w:t>
      </w:r>
    </w:p>
    <w:p w14:paraId="35FEFFDC" w14:textId="7236A7D8"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We start of course with the introduction. The introduction is a brief explanation of the specific clinical area addressed in the CBR, in this case of course it is breast re-excision procedures.  You can see here, information from the </w:t>
      </w:r>
      <w:r w:rsidRPr="009F28B3">
        <w:rPr>
          <w:rFonts w:asciiTheme="minorHAnsi" w:hAnsiTheme="minorHAnsi" w:cstheme="minorHAnsi"/>
          <w:i/>
        </w:rPr>
        <w:t>Journal of American College of Surgeons</w:t>
      </w:r>
      <w:r w:rsidRPr="006A2C7A">
        <w:rPr>
          <w:rFonts w:asciiTheme="minorHAnsi" w:hAnsiTheme="minorHAnsi" w:cstheme="minorHAnsi"/>
        </w:rPr>
        <w:t xml:space="preserve"> that discusses the rate of re-excision procedures in recent years. The introduction also contains the criteria for receiving a CBR. Moving on to </w:t>
      </w:r>
      <w:r w:rsidR="009F28B3">
        <w:rPr>
          <w:rFonts w:asciiTheme="minorHAnsi" w:hAnsiTheme="minorHAnsi" w:cstheme="minorHAnsi"/>
        </w:rPr>
        <w:t>the coverage and documentation o</w:t>
      </w:r>
      <w:r w:rsidRPr="006A2C7A">
        <w:rPr>
          <w:rFonts w:asciiTheme="minorHAnsi" w:hAnsiTheme="minorHAnsi" w:cstheme="minorHAnsi"/>
        </w:rPr>
        <w:t>verview. This section identifies the CPT</w:t>
      </w:r>
      <w:r w:rsidR="00251026">
        <w:rPr>
          <w:rFonts w:asciiTheme="minorHAnsi" w:hAnsiTheme="minorHAnsi" w:cstheme="minorHAnsi"/>
        </w:rPr>
        <w:t>®</w:t>
      </w:r>
      <w:r w:rsidRPr="006A2C7A">
        <w:rPr>
          <w:rFonts w:asciiTheme="minorHAnsi" w:hAnsiTheme="minorHAnsi" w:cstheme="minorHAnsi"/>
        </w:rPr>
        <w:t xml:space="preserve"> codes that were analyzed in the report. Tables 1 and 2 are listed in this section; Table 1 contains detailed descriptions of the breast excision and mastectomy CPT</w:t>
      </w:r>
      <w:r w:rsidR="00251026">
        <w:rPr>
          <w:rFonts w:asciiTheme="minorHAnsi" w:hAnsiTheme="minorHAnsi" w:cstheme="minorHAnsi"/>
        </w:rPr>
        <w:t>®</w:t>
      </w:r>
      <w:r w:rsidRPr="006A2C7A">
        <w:rPr>
          <w:rFonts w:asciiTheme="minorHAnsi" w:hAnsiTheme="minorHAnsi" w:cstheme="minorHAnsi"/>
        </w:rPr>
        <w:t xml:space="preserve"> codes, you can see those here. Table 2 contains the information for this sample provider for the allowed charges, allowed units, and beneficiary count during the analysis timeframe.</w:t>
      </w:r>
    </w:p>
    <w:p w14:paraId="12AA67A7"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The metrics of the CBR lists and explains the metrics used for the CBR, the list of specialties included in the CBR analysis, and the definitions for the specialty and national peer groups, and the possible outcomes for the CBR metric analyses.</w:t>
      </w:r>
    </w:p>
    <w:p w14:paraId="2E572525"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The methods and results section is a review of the results for the CBR analysis, followed by individual results comparing the CBR recipient to other providers. We have an explanation of the dates of service included in the report analysis, and the total rendering providers who had allowed charges for breast re-excision services. Following that information, the calculation for the metric is described, and then the results for the provider for each metric is shown in table form. This section also provides a graph displaying the trend over time for the provider.</w:t>
      </w:r>
    </w:p>
    <w:p w14:paraId="6038CE1D"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Finally, the references and resources section lists reports and documents used for the creation of the CBR, and those created to help you as you have questions about this CBR.</w:t>
      </w:r>
    </w:p>
    <w:p w14:paraId="7E4807EC" w14:textId="3709CEEF"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Let’s take a look now at the vulnerability of correct payments for breast excision procedures, and how that plays into CMS’s protection of the Trust Fund. We saw in the introduction, information from the </w:t>
      </w:r>
      <w:r w:rsidRPr="009F28B3">
        <w:rPr>
          <w:rFonts w:asciiTheme="minorHAnsi" w:hAnsiTheme="minorHAnsi" w:cstheme="minorHAnsi"/>
          <w:i/>
        </w:rPr>
        <w:t>Journal of American College of Surgeons</w:t>
      </w:r>
      <w:r w:rsidRPr="006A2C7A">
        <w:rPr>
          <w:rFonts w:asciiTheme="minorHAnsi" w:hAnsiTheme="minorHAnsi" w:cstheme="minorHAnsi"/>
        </w:rPr>
        <w:t>. The guidance and information listed in that article is at the heart of the vulnerability for breast excisions and re-excisions.  That article showed us that the physician-level rate of re-excisions reached a high of 91.7</w:t>
      </w:r>
      <w:r w:rsidR="004B3859">
        <w:rPr>
          <w:rFonts w:asciiTheme="minorHAnsi" w:hAnsiTheme="minorHAnsi" w:cstheme="minorHAnsi"/>
        </w:rPr>
        <w:t>%</w:t>
      </w:r>
      <w:r w:rsidRPr="006A2C7A">
        <w:rPr>
          <w:rFonts w:asciiTheme="minorHAnsi" w:hAnsiTheme="minorHAnsi" w:cstheme="minorHAnsi"/>
        </w:rPr>
        <w:t xml:space="preserve"> between 2012 and 2018. The article discusses an e</w:t>
      </w:r>
      <w:r w:rsidR="004B3859">
        <w:rPr>
          <w:rFonts w:asciiTheme="minorHAnsi" w:hAnsiTheme="minorHAnsi" w:cstheme="minorHAnsi"/>
        </w:rPr>
        <w:t xml:space="preserve">xpert consensus threshold of 30% </w:t>
      </w:r>
      <w:r w:rsidRPr="006A2C7A">
        <w:rPr>
          <w:rFonts w:asciiTheme="minorHAnsi" w:hAnsiTheme="minorHAnsi" w:cstheme="minorHAnsi"/>
        </w:rPr>
        <w:t>for re-excisio</w:t>
      </w:r>
      <w:r w:rsidR="004B3859">
        <w:rPr>
          <w:rFonts w:asciiTheme="minorHAnsi" w:hAnsiTheme="minorHAnsi" w:cstheme="minorHAnsi"/>
        </w:rPr>
        <w:t xml:space="preserve">n rates, and the fact that 17.5% of providers exceeded that 30% </w:t>
      </w:r>
      <w:r w:rsidRPr="006A2C7A">
        <w:rPr>
          <w:rFonts w:asciiTheme="minorHAnsi" w:hAnsiTheme="minorHAnsi" w:cstheme="minorHAnsi"/>
        </w:rPr>
        <w:t>threshold.</w:t>
      </w:r>
    </w:p>
    <w:p w14:paraId="2C64DD53"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To look at the rendering providers who submitted claims for breast excision procedures, the </w:t>
      </w:r>
      <w:r w:rsidRPr="006A2C7A">
        <w:rPr>
          <w:rFonts w:asciiTheme="minorHAnsi" w:hAnsiTheme="minorHAnsi" w:cstheme="minorHAnsi"/>
          <w:i/>
          <w:iCs/>
        </w:rPr>
        <w:t>CBR202008</w:t>
      </w:r>
      <w:r w:rsidRPr="006A2C7A">
        <w:rPr>
          <w:rFonts w:asciiTheme="minorHAnsi" w:hAnsiTheme="minorHAnsi" w:cstheme="minorHAnsi"/>
        </w:rPr>
        <w:t xml:space="preserve"> was created. The CBR analyzes and reviews statistics for rendering providers who performed breast excision services.</w:t>
      </w:r>
    </w:p>
    <w:p w14:paraId="348B84E8" w14:textId="77777777" w:rsidR="006A2C7A" w:rsidRPr="006A2C7A" w:rsidRDefault="006A2C7A" w:rsidP="00251026">
      <w:pPr>
        <w:rPr>
          <w:rFonts w:asciiTheme="minorHAnsi" w:hAnsiTheme="minorHAnsi" w:cstheme="minorHAnsi"/>
        </w:rPr>
      </w:pPr>
      <w:r w:rsidRPr="006A2C7A">
        <w:rPr>
          <w:rFonts w:asciiTheme="minorHAnsi" w:hAnsiTheme="minorHAnsi" w:cstheme="minorHAnsi"/>
          <w:i/>
          <w:iCs/>
        </w:rPr>
        <w:t>CBR202008</w:t>
      </w:r>
      <w:r w:rsidRPr="006A2C7A">
        <w:rPr>
          <w:rFonts w:asciiTheme="minorHAnsi" w:hAnsiTheme="minorHAnsi" w:cstheme="minorHAnsi"/>
        </w:rPr>
        <w:t xml:space="preserve"> focuses on specific provider specialties, and those are listed here. The outcomes for the metrics and the comparisons will be based on the provider’s specialty group as well as a comparison to the national outcome.</w:t>
      </w:r>
    </w:p>
    <w:p w14:paraId="67768442" w14:textId="40605888" w:rsidR="006A2C7A" w:rsidRPr="006A2C7A" w:rsidRDefault="006A2C7A" w:rsidP="00251026">
      <w:pPr>
        <w:rPr>
          <w:rFonts w:asciiTheme="minorHAnsi" w:hAnsiTheme="minorHAnsi" w:cstheme="minorHAnsi"/>
        </w:rPr>
      </w:pPr>
      <w:r w:rsidRPr="006A2C7A">
        <w:rPr>
          <w:rFonts w:asciiTheme="minorHAnsi" w:hAnsiTheme="minorHAnsi" w:cstheme="minorHAnsi"/>
        </w:rPr>
        <w:lastRenderedPageBreak/>
        <w:t xml:space="preserve">To create the </w:t>
      </w:r>
      <w:r w:rsidRPr="006A2C7A">
        <w:rPr>
          <w:rFonts w:asciiTheme="minorHAnsi" w:hAnsiTheme="minorHAnsi" w:cstheme="minorHAnsi"/>
          <w:i/>
          <w:iCs/>
        </w:rPr>
        <w:t>CBR202008</w:t>
      </w:r>
      <w:r w:rsidRPr="006A2C7A">
        <w:rPr>
          <w:rFonts w:asciiTheme="minorHAnsi" w:hAnsiTheme="minorHAnsi" w:cstheme="minorHAnsi"/>
        </w:rPr>
        <w:t xml:space="preserve"> and the metrics within the report, we used detailed information for that data during the CBR summary year of March 1, 2018</w:t>
      </w:r>
      <w:r w:rsidR="00854DA6">
        <w:rPr>
          <w:rFonts w:asciiTheme="minorHAnsi" w:hAnsiTheme="minorHAnsi" w:cstheme="minorHAnsi"/>
        </w:rPr>
        <w:t>,</w:t>
      </w:r>
      <w:r w:rsidRPr="006A2C7A">
        <w:rPr>
          <w:rFonts w:asciiTheme="minorHAnsi" w:hAnsiTheme="minorHAnsi" w:cstheme="minorHAnsi"/>
        </w:rPr>
        <w:t xml:space="preserve"> through February 29, 2020. The results were based on claims extracted for the date range as of July 30, 2020. those results showed that over ten thousand providers submitted these claims, which represent over 73 million dollars in allowed charges. When we talk about allowed charges, we’re referencing the allowed charges listed in the Medicare fee schedule. This lets us compare similar charge figures across all providers and claims submissions regardless of the submitted or paid amount.</w:t>
      </w:r>
    </w:p>
    <w:p w14:paraId="48BCB8DC" w14:textId="152BBBB1" w:rsidR="006A2C7A" w:rsidRPr="006A2C7A" w:rsidRDefault="006A2C7A" w:rsidP="00251026">
      <w:pPr>
        <w:rPr>
          <w:rFonts w:asciiTheme="minorHAnsi" w:hAnsiTheme="minorHAnsi" w:cstheme="minorHAnsi"/>
        </w:rPr>
      </w:pPr>
      <w:r w:rsidRPr="006A2C7A">
        <w:rPr>
          <w:rFonts w:asciiTheme="minorHAnsi" w:hAnsiTheme="minorHAnsi" w:cstheme="minorHAnsi"/>
        </w:rPr>
        <w:t>This analysis focuses on re-excision information for individual providers. So, it is important t</w:t>
      </w:r>
      <w:r w:rsidR="009F28B3">
        <w:rPr>
          <w:rFonts w:asciiTheme="minorHAnsi" w:hAnsiTheme="minorHAnsi" w:cstheme="minorHAnsi"/>
        </w:rPr>
        <w:t>o understand the definition of “re-excision”</w:t>
      </w:r>
      <w:r w:rsidRPr="006A2C7A">
        <w:rPr>
          <w:rFonts w:asciiTheme="minorHAnsi" w:hAnsiTheme="minorHAnsi" w:cstheme="minorHAnsi"/>
        </w:rPr>
        <w:t xml:space="preserve"> as it applies to this analysis. To identify re-excisions, the CBR team first identified excisions performed between March 1, 2018, and February 28, 2019, which became the base time period. The team then identified, for each excision during the base time period, subsequent excisions performed by the same provider. Any excision performed within 365 of a prior excision was identified as a re-excision. Each of those re-excision was identified as such within those 365 days.</w:t>
      </w:r>
    </w:p>
    <w:p w14:paraId="0B0CA472"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With the information regarding the definition of re-excision, let’s talk about the metrics. This is a list of the metrics analyzed within this CBR report. Each metric was created to take a more detailed look at the submission of claims for breast excision services. The metrics are percent of re-excisions, percent of allowed amount for re-excisions, percent of beneficiaries receiving a re-excision. We’ll break down how each of these metrics is calculated later in the presentation, but first let’s take a look at each metric to understand why each analysis was selected and analyzed.</w:t>
      </w:r>
    </w:p>
    <w:p w14:paraId="7F0D58B1"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Metric 1 analyzes the percent of re-excisions. This metric tells us, of all the total excisions performed by the provider, what percentage were re-excisions? Using the threshold rate suggested in the journal article referenced in the CBR introduction, we assume that a lower percentage rate of re-excisions would be beneficial to the beneficiaries.</w:t>
      </w:r>
    </w:p>
    <w:p w14:paraId="3E106FBE"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Metric 2 analyzes the percent of allowed amount for re-excisions. This metric helps to put a dollar amount to the analysis of re-excisions. The outcome of this metric will show us the dollar amount from the provider’s re-excisions as compared to their peers</w:t>
      </w:r>
    </w:p>
    <w:p w14:paraId="179BA62A"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Metric 3 analyzes the percent of beneficiaries receiving a re-excision. This metric looks at the beneficiaries effected by the re-excision rate for these breast procedures; how many beneficiaries received re-excisions during the analysis time frame?</w:t>
      </w:r>
    </w:p>
    <w:p w14:paraId="49426070" w14:textId="31F2D1C0"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The criterion for receiving a </w:t>
      </w:r>
      <w:r w:rsidRPr="006A2C7A">
        <w:rPr>
          <w:rFonts w:asciiTheme="minorHAnsi" w:hAnsiTheme="minorHAnsi" w:cstheme="minorHAnsi"/>
          <w:i/>
          <w:iCs/>
        </w:rPr>
        <w:t>CBR202008</w:t>
      </w:r>
      <w:r w:rsidRPr="006A2C7A">
        <w:rPr>
          <w:rFonts w:asciiTheme="minorHAnsi" w:hAnsiTheme="minorHAnsi" w:cstheme="minorHAnsi"/>
        </w:rPr>
        <w:t xml:space="preserve"> is actually not very complicated at all. If the provider had a re-excision rate that was greater than 30</w:t>
      </w:r>
      <w:r w:rsidR="004B3859">
        <w:rPr>
          <w:rFonts w:asciiTheme="minorHAnsi" w:hAnsiTheme="minorHAnsi" w:cstheme="minorHAnsi"/>
        </w:rPr>
        <w:t>%</w:t>
      </w:r>
      <w:r w:rsidRPr="006A2C7A">
        <w:rPr>
          <w:rFonts w:asciiTheme="minorHAnsi" w:hAnsiTheme="minorHAnsi" w:cstheme="minorHAnsi"/>
        </w:rPr>
        <w:t xml:space="preserve">, that provider received a </w:t>
      </w:r>
      <w:r w:rsidRPr="00AC64C3">
        <w:rPr>
          <w:rFonts w:asciiTheme="minorHAnsi" w:hAnsiTheme="minorHAnsi" w:cstheme="minorHAnsi"/>
          <w:i/>
        </w:rPr>
        <w:t>CBR202008</w:t>
      </w:r>
      <w:r w:rsidRPr="006A2C7A">
        <w:rPr>
          <w:rFonts w:asciiTheme="minorHAnsi" w:hAnsiTheme="minorHAnsi" w:cstheme="minorHAnsi"/>
        </w:rPr>
        <w:t xml:space="preserve">.  </w:t>
      </w:r>
    </w:p>
    <w:p w14:paraId="127A97F6"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Let’s look now at the outcomes that could come from each comparison for the metrics.</w:t>
      </w:r>
    </w:p>
    <w:p w14:paraId="042461BB"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lastRenderedPageBreak/>
        <w:t xml:space="preserve">All four outcomes are listed here. These outcomes are the basis of the comparisons made regarding the provider’s billing patterns and those of their peers. The four outcomes that can come of each metric analysis are significantly higher, which means the provider’s value is greater than or equal to the 90th percentile from the state or national mean. Higher, which means the provider’s value is greater than the state or national mean. Does Not Exceed, which means the provider’s value is less than or equal to the state or national mean. And then, not applicable means that the provider does not have sufficient data for comparison. </w:t>
      </w:r>
    </w:p>
    <w:p w14:paraId="02C6009B" w14:textId="7A98694A" w:rsidR="006A2C7A" w:rsidRPr="006A2C7A" w:rsidRDefault="006A2C7A" w:rsidP="00251026">
      <w:pPr>
        <w:rPr>
          <w:rFonts w:asciiTheme="minorHAnsi" w:hAnsiTheme="minorHAnsi" w:cstheme="minorHAnsi"/>
        </w:rPr>
      </w:pPr>
      <w:r w:rsidRPr="006A2C7A">
        <w:rPr>
          <w:rFonts w:asciiTheme="minorHAnsi" w:hAnsiTheme="minorHAnsi" w:cstheme="minorHAnsi"/>
        </w:rPr>
        <w:t>The significantly higher outcome indicates that the provider’s value is greater than or equal to the 90th percentile from the peer specialty or national mean. In order to talk exactly about how we calculate the 90th percentile, let</w:t>
      </w:r>
      <w:r>
        <w:rPr>
          <w:rFonts w:asciiTheme="minorHAnsi" w:hAnsiTheme="minorHAnsi" w:cstheme="minorHAnsi"/>
        </w:rPr>
        <w:t>’</w:t>
      </w:r>
      <w:r w:rsidRPr="006A2C7A">
        <w:rPr>
          <w:rFonts w:asciiTheme="minorHAnsi" w:hAnsiTheme="minorHAnsi" w:cstheme="minorHAnsi"/>
        </w:rPr>
        <w:t>s go to our next slide.</w:t>
      </w:r>
    </w:p>
    <w:p w14:paraId="0111DA3B"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I think that the visual on this slide can help us to understand the true meaning of the 90th percentile. It is important to fully understand these outcomes, as they are criteria for receipt of a CBR. In order to identify the providers who were above the 90th percentile, we calculated values for all providers for each of the metrics in each comparison group, which would be the peer specialty and nation. We then order all of the providers’ values from highest to lowest. If you use the ladder visual as a reference, imagine that the highest values are listed at the top of the ladder, and then in descending order down the length of the ladder, so the smallest values are at that bottom rung. Next, we identify the value below which 90% of the providers’ values fall. This is the 90th percentile mark, represented above on the ladder visual by the black line. Any outcome for a metric in which the provider’s value falls above that point would therefore have the outcome of significantly higher for the metric. Let’s look at each metric individually, and the outcomes for the sample provider on our sample CBR.</w:t>
      </w:r>
    </w:p>
    <w:p w14:paraId="24EDCB73" w14:textId="1D02F3B7"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Looking first at </w:t>
      </w:r>
      <w:r w:rsidR="00854DA6" w:rsidRPr="006A2C7A">
        <w:rPr>
          <w:rFonts w:asciiTheme="minorHAnsi" w:hAnsiTheme="minorHAnsi" w:cstheme="minorHAnsi"/>
        </w:rPr>
        <w:t>Metric</w:t>
      </w:r>
      <w:r w:rsidRPr="006A2C7A">
        <w:rPr>
          <w:rFonts w:asciiTheme="minorHAnsi" w:hAnsiTheme="minorHAnsi" w:cstheme="minorHAnsi"/>
        </w:rPr>
        <w:t xml:space="preserve"> 1, the percent of re-excisions. To calculate Metric 1, the number of re-excisions was divided by the number of excisions. Looking at the sample figures on the CBR for Metric 1, which are in Table 3, on page 5. You can see that this provider has a percentage of 36.36. With the specialty percentage falling at 17.34, and the national percentage at 16.82, the outcome of this metric for this provider is significantly higher for both the specialty and national comparisons.</w:t>
      </w:r>
    </w:p>
    <w:p w14:paraId="51A2C639"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Next we have Metric 2, the percent allowed amount for re-excisions. Metric 2 is calculated by dividing the allowed amount for re-excisions by the total allowed amount for all excisions.</w:t>
      </w:r>
    </w:p>
    <w:p w14:paraId="6C9B6264"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With that in mind, let’s see where the sample provider fell with their results. Those results are on Table 4, on page 5, and we can see that this provider’s percentage is 34.96. The specialty percentage is 17.20 and national percentage is 16.64. These results produced an outcome of, again, significantly higher for both comparisons for this metric for the sample provider.</w:t>
      </w:r>
    </w:p>
    <w:p w14:paraId="201A8B38" w14:textId="2045E273" w:rsidR="006A2C7A" w:rsidRPr="006A2C7A" w:rsidRDefault="006A2C7A" w:rsidP="00251026">
      <w:pPr>
        <w:rPr>
          <w:rFonts w:asciiTheme="minorHAnsi" w:hAnsiTheme="minorHAnsi" w:cstheme="minorHAnsi"/>
        </w:rPr>
      </w:pPr>
      <w:r w:rsidRPr="006A2C7A">
        <w:rPr>
          <w:rFonts w:asciiTheme="minorHAnsi" w:hAnsiTheme="minorHAnsi" w:cstheme="minorHAnsi"/>
        </w:rPr>
        <w:t xml:space="preserve">Finally, we arrive at </w:t>
      </w:r>
      <w:r w:rsidR="00854DA6" w:rsidRPr="006A2C7A">
        <w:rPr>
          <w:rFonts w:asciiTheme="minorHAnsi" w:hAnsiTheme="minorHAnsi" w:cstheme="minorHAnsi"/>
        </w:rPr>
        <w:t>Metric</w:t>
      </w:r>
      <w:r w:rsidRPr="006A2C7A">
        <w:rPr>
          <w:rFonts w:asciiTheme="minorHAnsi" w:hAnsiTheme="minorHAnsi" w:cstheme="minorHAnsi"/>
        </w:rPr>
        <w:t xml:space="preserve"> 3, the percent of beneficiaries receiving re-excision. This metric was calculated by dividing the number of unique beneficiaries who had at least one re-excision by </w:t>
      </w:r>
      <w:r w:rsidRPr="006A2C7A">
        <w:rPr>
          <w:rFonts w:asciiTheme="minorHAnsi" w:hAnsiTheme="minorHAnsi" w:cstheme="minorHAnsi"/>
        </w:rPr>
        <w:lastRenderedPageBreak/>
        <w:t>the total number of unique beneficiaries who had an excision. Let’s see the sample figures on the CBR for Metric 3. This p</w:t>
      </w:r>
      <w:r w:rsidR="004B3859">
        <w:rPr>
          <w:rFonts w:asciiTheme="minorHAnsi" w:hAnsiTheme="minorHAnsi" w:cstheme="minorHAnsi"/>
        </w:rPr>
        <w:t xml:space="preserve">rovider had an outcome of 57.14% </w:t>
      </w:r>
      <w:r w:rsidRPr="006A2C7A">
        <w:rPr>
          <w:rFonts w:asciiTheme="minorHAnsi" w:hAnsiTheme="minorHAnsi" w:cstheme="minorHAnsi"/>
        </w:rPr>
        <w:t>for this metric. The specialty percentage is 20.48 and the national percentage is 19.72 so this brings a result of significantly higher for this provider for the specialty and national comparisons</w:t>
      </w:r>
    </w:p>
    <w:p w14:paraId="355BA49B" w14:textId="70265A3C" w:rsidR="006A2C7A" w:rsidRPr="006A2C7A" w:rsidRDefault="006A2C7A" w:rsidP="00251026">
      <w:pPr>
        <w:rPr>
          <w:rFonts w:asciiTheme="minorHAnsi" w:hAnsiTheme="minorHAnsi" w:cstheme="minorHAnsi"/>
        </w:rPr>
      </w:pPr>
      <w:r w:rsidRPr="006A2C7A">
        <w:rPr>
          <w:rFonts w:asciiTheme="minorHAnsi" w:hAnsiTheme="minorHAnsi" w:cstheme="minorHAnsi"/>
        </w:rPr>
        <w:t>The CBR includes a graph that represents the provider’s billing trend, over the three years 2017 to 2020, for the number of beneficiaries for whom the CPT</w:t>
      </w:r>
      <w:r w:rsidR="00251026">
        <w:rPr>
          <w:rFonts w:asciiTheme="minorHAnsi" w:hAnsiTheme="minorHAnsi" w:cstheme="minorHAnsi"/>
        </w:rPr>
        <w:t>®</w:t>
      </w:r>
      <w:r w:rsidRPr="006A2C7A">
        <w:rPr>
          <w:rFonts w:asciiTheme="minorHAnsi" w:hAnsiTheme="minorHAnsi" w:cstheme="minorHAnsi"/>
        </w:rPr>
        <w:t xml:space="preserve"> codes for </w:t>
      </w:r>
      <w:r w:rsidR="00251026">
        <w:rPr>
          <w:rFonts w:asciiTheme="minorHAnsi" w:hAnsiTheme="minorHAnsi" w:cstheme="minorHAnsi"/>
        </w:rPr>
        <w:t>breast re-excision</w:t>
      </w:r>
      <w:r w:rsidR="009F28B3">
        <w:rPr>
          <w:rFonts w:asciiTheme="minorHAnsi" w:hAnsiTheme="minorHAnsi" w:cstheme="minorHAnsi"/>
        </w:rPr>
        <w:t xml:space="preserve"> </w:t>
      </w:r>
      <w:bookmarkStart w:id="0" w:name="_GoBack"/>
      <w:bookmarkEnd w:id="0"/>
      <w:r w:rsidR="00251026">
        <w:rPr>
          <w:rFonts w:asciiTheme="minorHAnsi" w:hAnsiTheme="minorHAnsi" w:cstheme="minorHAnsi"/>
        </w:rPr>
        <w:t xml:space="preserve">—excuse me — </w:t>
      </w:r>
      <w:r w:rsidRPr="006A2C7A">
        <w:rPr>
          <w:rFonts w:asciiTheme="minorHAnsi" w:hAnsiTheme="minorHAnsi" w:cstheme="minorHAnsi"/>
        </w:rPr>
        <w:t>breast excision were submitted. After the detail of the metrics and analysis, it is nice to have this graph that takes a step back and reviews an overall analysis for that three-year period of time. And we can the results for this provider for each code for each year.</w:t>
      </w:r>
    </w:p>
    <w:p w14:paraId="17C6B02B" w14:textId="35348D6D" w:rsidR="006A2C7A" w:rsidRPr="006A2C7A" w:rsidRDefault="006A2C7A" w:rsidP="00251026">
      <w:pPr>
        <w:rPr>
          <w:rFonts w:asciiTheme="minorHAnsi" w:hAnsiTheme="minorHAnsi" w:cstheme="minorHAnsi"/>
        </w:rPr>
      </w:pPr>
      <w:r w:rsidRPr="006A2C7A">
        <w:rPr>
          <w:rFonts w:asciiTheme="minorHAnsi" w:hAnsiTheme="minorHAnsi" w:cstheme="minorHAnsi"/>
        </w:rPr>
        <w:t>At this point, I want to review the resources we have available to you if you received a CBR, or even if you would just like further information about the process. We have a helpful resources page cbr.cbrpepper.org/Help-Contact-Us.</w:t>
      </w:r>
      <w:r>
        <w:rPr>
          <w:rFonts w:asciiTheme="minorHAnsi" w:hAnsiTheme="minorHAnsi" w:cstheme="minorHAnsi"/>
        </w:rPr>
        <w:t xml:space="preserve"> </w:t>
      </w:r>
      <w:r w:rsidRPr="006A2C7A">
        <w:rPr>
          <w:rFonts w:asciiTheme="minorHAnsi" w:hAnsiTheme="minorHAnsi" w:cstheme="minorHAnsi"/>
        </w:rPr>
        <w:t xml:space="preserve">On this page, you’ll find frequently asked questions link, and a link to submit a new </w:t>
      </w:r>
      <w:r w:rsidR="00251026" w:rsidRPr="006A2C7A">
        <w:rPr>
          <w:rFonts w:asciiTheme="minorHAnsi" w:hAnsiTheme="minorHAnsi" w:cstheme="minorHAnsi"/>
        </w:rPr>
        <w:t>Help Desk</w:t>
      </w:r>
      <w:r w:rsidRPr="006A2C7A">
        <w:rPr>
          <w:rFonts w:asciiTheme="minorHAnsi" w:hAnsiTheme="minorHAnsi" w:cstheme="minorHAnsi"/>
        </w:rPr>
        <w:t xml:space="preserve"> request. I always encourage people to review the frequently asked questions before submitting a </w:t>
      </w:r>
      <w:r w:rsidR="00251026" w:rsidRPr="006A2C7A">
        <w:rPr>
          <w:rFonts w:asciiTheme="minorHAnsi" w:hAnsiTheme="minorHAnsi" w:cstheme="minorHAnsi"/>
        </w:rPr>
        <w:t>Help Desk</w:t>
      </w:r>
      <w:r w:rsidRPr="006A2C7A">
        <w:rPr>
          <w:rFonts w:asciiTheme="minorHAnsi" w:hAnsiTheme="minorHAnsi" w:cstheme="minorHAnsi"/>
        </w:rPr>
        <w:t xml:space="preserve"> ticket, because those frequently asked questions may be able to answer your inquiry.</w:t>
      </w:r>
    </w:p>
    <w:p w14:paraId="3C611DA4"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Here is a closer look at the frequently asked questions page cbr.cbrpepper.org/FAQ. This page contains the list of frequently asked questions, and has links to answers to various questions that you can see here. Simply click on the question and the answer will populate. This list has proven helpful to many people who have questions about the CBR process.</w:t>
      </w:r>
    </w:p>
    <w:p w14:paraId="74BAE302"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These helpful resources are the documentation and reporting that the CBR team used in the creation and analysis of the CBR. You’ll see the CPT® Manual, and the guidance from the article that was listed in the introduction of the CBR.</w:t>
      </w:r>
    </w:p>
    <w:p w14:paraId="40A3BA0A" w14:textId="77777777" w:rsidR="006A2C7A" w:rsidRPr="006A2C7A" w:rsidRDefault="006A2C7A" w:rsidP="00251026">
      <w:pPr>
        <w:rPr>
          <w:rFonts w:asciiTheme="minorHAnsi" w:hAnsiTheme="minorHAnsi" w:cstheme="minorHAnsi"/>
        </w:rPr>
      </w:pPr>
      <w:r w:rsidRPr="006A2C7A">
        <w:rPr>
          <w:rFonts w:asciiTheme="minorHAnsi" w:hAnsiTheme="minorHAnsi" w:cstheme="minorHAnsi"/>
        </w:rPr>
        <w:t>This is a screenshot of our homepage, cbr.cbrpepper.org/Home. There are sections for each of the CBRs that we have released in 2019 and 2020. For each CBR topic and release, we provide links to a sample CBR, the training materials, the data set, and a link to access your CBR. This page also contains a link to join our mailing list to stay up to date on any announcements, a link to provide feedback on the CBRs, and a link to submit a CBR success story. We would love to hear how the CBR process worked for you and your organization.</w:t>
      </w:r>
    </w:p>
    <w:p w14:paraId="5ABD7ACF" w14:textId="49F529FD" w:rsidR="00AE7A5D" w:rsidRPr="00AE7A5D" w:rsidRDefault="006A2C7A" w:rsidP="00251026">
      <w:pPr>
        <w:rPr>
          <w:rFonts w:asciiTheme="minorHAnsi" w:hAnsiTheme="minorHAnsi" w:cstheme="minorHAnsi"/>
        </w:rPr>
      </w:pPr>
      <w:r w:rsidRPr="006A2C7A">
        <w:rPr>
          <w:rFonts w:asciiTheme="minorHAnsi" w:hAnsiTheme="minorHAnsi" w:cstheme="minorHAnsi"/>
        </w:rPr>
        <w:t xml:space="preserve">Again, if you have any questions about today’s webinar, please feel free to submit them to the </w:t>
      </w:r>
      <w:r w:rsidR="00251026" w:rsidRPr="006A2C7A">
        <w:rPr>
          <w:rFonts w:asciiTheme="minorHAnsi" w:hAnsiTheme="minorHAnsi" w:cstheme="minorHAnsi"/>
        </w:rPr>
        <w:t>Help Desk</w:t>
      </w:r>
      <w:r w:rsidRPr="006A2C7A">
        <w:rPr>
          <w:rFonts w:asciiTheme="minorHAnsi" w:hAnsiTheme="minorHAnsi" w:cstheme="minorHAnsi"/>
        </w:rPr>
        <w:t xml:space="preserve">. Thank you so much for joining us today to discuss the CBR release </w:t>
      </w:r>
      <w:r w:rsidRPr="006A2C7A">
        <w:rPr>
          <w:rFonts w:asciiTheme="minorHAnsi" w:hAnsiTheme="minorHAnsi" w:cstheme="minorHAnsi"/>
          <w:i/>
          <w:iCs/>
        </w:rPr>
        <w:t>CBR202008</w:t>
      </w:r>
      <w:r w:rsidR="00AC64C3">
        <w:rPr>
          <w:rFonts w:asciiTheme="minorHAnsi" w:hAnsiTheme="minorHAnsi" w:cstheme="minorHAnsi"/>
          <w:i/>
          <w:iCs/>
        </w:rPr>
        <w:t>: Breast Re-E</w:t>
      </w:r>
      <w:r w:rsidRPr="006A2C7A">
        <w:rPr>
          <w:rFonts w:asciiTheme="minorHAnsi" w:hAnsiTheme="minorHAnsi" w:cstheme="minorHAnsi"/>
          <w:i/>
          <w:iCs/>
        </w:rPr>
        <w:t>xcision.</w:t>
      </w:r>
    </w:p>
    <w:sectPr w:rsidR="00AE7A5D" w:rsidRPr="00AE7A5D" w:rsidSect="00B35F1C">
      <w:footerReference w:type="default" r:id="rId10"/>
      <w:headerReference w:type="first" r:id="rId11"/>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C2241" w14:textId="77777777" w:rsidR="00CF6438" w:rsidRDefault="00CF6438" w:rsidP="0020350A">
      <w:pPr>
        <w:spacing w:line="240" w:lineRule="auto"/>
      </w:pPr>
      <w:r>
        <w:separator/>
      </w:r>
    </w:p>
  </w:endnote>
  <w:endnote w:type="continuationSeparator" w:id="0">
    <w:p w14:paraId="30830A54" w14:textId="77777777" w:rsidR="00CF6438" w:rsidRDefault="00CF6438" w:rsidP="00203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9" w14:textId="0CE14013" w:rsidR="0020350A" w:rsidRPr="00B35F1C" w:rsidRDefault="00B35F1C" w:rsidP="00B35F1C">
    <w:pPr>
      <w:pStyle w:val="Footer"/>
      <w:ind w:right="0"/>
      <w:jc w:val="right"/>
      <w:rPr>
        <w:rFonts w:ascii="Calibri" w:hAnsi="Calibri" w:cs="Calibri"/>
        <w:sz w:val="20"/>
      </w:rPr>
    </w:pPr>
    <w:r w:rsidRPr="00B35F1C">
      <w:rPr>
        <w:rFonts w:ascii="Calibri" w:hAnsi="Calibri" w:cs="Calibri"/>
        <w:sz w:val="20"/>
      </w:rPr>
      <w:t xml:space="preserve">Page </w:t>
    </w:r>
    <w:r w:rsidRPr="00B35F1C">
      <w:rPr>
        <w:rFonts w:ascii="Calibri" w:hAnsi="Calibri" w:cs="Calibri"/>
        <w:b/>
        <w:bCs/>
        <w:sz w:val="20"/>
      </w:rPr>
      <w:fldChar w:fldCharType="begin"/>
    </w:r>
    <w:r w:rsidRPr="00B35F1C">
      <w:rPr>
        <w:rFonts w:ascii="Calibri" w:hAnsi="Calibri" w:cs="Calibri"/>
        <w:b/>
        <w:bCs/>
        <w:sz w:val="20"/>
      </w:rPr>
      <w:instrText xml:space="preserve"> PAGE </w:instrText>
    </w:r>
    <w:r w:rsidRPr="00B35F1C">
      <w:rPr>
        <w:rFonts w:ascii="Calibri" w:hAnsi="Calibri" w:cs="Calibri"/>
        <w:b/>
        <w:bCs/>
        <w:sz w:val="20"/>
      </w:rPr>
      <w:fldChar w:fldCharType="separate"/>
    </w:r>
    <w:r w:rsidR="009F28B3">
      <w:rPr>
        <w:rFonts w:ascii="Calibri" w:hAnsi="Calibri" w:cs="Calibri"/>
        <w:b/>
        <w:bCs/>
        <w:noProof/>
        <w:sz w:val="20"/>
      </w:rPr>
      <w:t>7</w:t>
    </w:r>
    <w:r w:rsidRPr="00B35F1C">
      <w:rPr>
        <w:rFonts w:ascii="Calibri" w:hAnsi="Calibri" w:cs="Calibri"/>
        <w:b/>
        <w:bCs/>
        <w:sz w:val="20"/>
      </w:rPr>
      <w:fldChar w:fldCharType="end"/>
    </w:r>
    <w:r w:rsidRPr="00B35F1C">
      <w:rPr>
        <w:rFonts w:ascii="Calibri" w:hAnsi="Calibri" w:cs="Calibri"/>
        <w:sz w:val="20"/>
      </w:rPr>
      <w:t xml:space="preserve"> of </w:t>
    </w:r>
    <w:r w:rsidRPr="00B35F1C">
      <w:rPr>
        <w:rFonts w:ascii="Calibri" w:hAnsi="Calibri" w:cs="Calibri"/>
        <w:b/>
        <w:bCs/>
        <w:sz w:val="20"/>
      </w:rPr>
      <w:fldChar w:fldCharType="begin"/>
    </w:r>
    <w:r w:rsidRPr="00B35F1C">
      <w:rPr>
        <w:rFonts w:ascii="Calibri" w:hAnsi="Calibri" w:cs="Calibri"/>
        <w:b/>
        <w:bCs/>
        <w:sz w:val="20"/>
      </w:rPr>
      <w:instrText xml:space="preserve"> NUMPAGES  </w:instrText>
    </w:r>
    <w:r w:rsidRPr="00B35F1C">
      <w:rPr>
        <w:rFonts w:ascii="Calibri" w:hAnsi="Calibri" w:cs="Calibri"/>
        <w:b/>
        <w:bCs/>
        <w:sz w:val="20"/>
      </w:rPr>
      <w:fldChar w:fldCharType="separate"/>
    </w:r>
    <w:r w:rsidR="009F28B3">
      <w:rPr>
        <w:rFonts w:ascii="Calibri" w:hAnsi="Calibri" w:cs="Calibri"/>
        <w:b/>
        <w:bCs/>
        <w:noProof/>
        <w:sz w:val="20"/>
      </w:rPr>
      <w:t>7</w:t>
    </w:r>
    <w:r w:rsidRPr="00B35F1C">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57E8" w14:textId="77777777" w:rsidR="00CF6438" w:rsidRDefault="00CF6438" w:rsidP="0020350A">
      <w:pPr>
        <w:spacing w:line="240" w:lineRule="auto"/>
      </w:pPr>
      <w:r>
        <w:separator/>
      </w:r>
    </w:p>
  </w:footnote>
  <w:footnote w:type="continuationSeparator" w:id="0">
    <w:p w14:paraId="7CB36A4F" w14:textId="77777777" w:rsidR="00CF6438" w:rsidRDefault="00CF6438" w:rsidP="00203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A" w14:textId="77777777" w:rsidR="00B35F1C" w:rsidRPr="00B35F1C" w:rsidRDefault="00B35F1C" w:rsidP="00B35F1C">
    <w:pPr>
      <w:pStyle w:val="Header"/>
      <w:spacing w:after="120"/>
      <w:rPr>
        <w:sz w:val="10"/>
      </w:rPr>
    </w:pPr>
    <w:r>
      <w:rPr>
        <w:noProof/>
      </w:rPr>
      <w:drawing>
        <wp:inline distT="0" distB="0" distL="0" distR="0" wp14:anchorId="59198F0B" wp14:editId="59198F0C">
          <wp:extent cx="1295400" cy="609600"/>
          <wp:effectExtent l="0" t="0" r="0" b="0"/>
          <wp:docPr id="1" name="Picture 1" descr="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2C4"/>
    <w:multiLevelType w:val="hybridMultilevel"/>
    <w:tmpl w:val="C5225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31A45"/>
    <w:multiLevelType w:val="hybridMultilevel"/>
    <w:tmpl w:val="EAEE6530"/>
    <w:lvl w:ilvl="0" w:tplc="62B2AC02">
      <w:start w:val="4"/>
      <w:numFmt w:val="decimal"/>
      <w:lvlText w:val="%1."/>
      <w:lvlJc w:val="left"/>
      <w:pPr>
        <w:tabs>
          <w:tab w:val="num" w:pos="720"/>
        </w:tabs>
        <w:ind w:left="720" w:hanging="360"/>
      </w:pPr>
    </w:lvl>
    <w:lvl w:ilvl="1" w:tplc="6A6C1EDC" w:tentative="1">
      <w:start w:val="1"/>
      <w:numFmt w:val="decimal"/>
      <w:lvlText w:val="%2."/>
      <w:lvlJc w:val="left"/>
      <w:pPr>
        <w:tabs>
          <w:tab w:val="num" w:pos="1440"/>
        </w:tabs>
        <w:ind w:left="1440" w:hanging="360"/>
      </w:pPr>
    </w:lvl>
    <w:lvl w:ilvl="2" w:tplc="4A3438F0" w:tentative="1">
      <w:start w:val="1"/>
      <w:numFmt w:val="decimal"/>
      <w:lvlText w:val="%3."/>
      <w:lvlJc w:val="left"/>
      <w:pPr>
        <w:tabs>
          <w:tab w:val="num" w:pos="2160"/>
        </w:tabs>
        <w:ind w:left="2160" w:hanging="360"/>
      </w:pPr>
    </w:lvl>
    <w:lvl w:ilvl="3" w:tplc="A41EB216" w:tentative="1">
      <w:start w:val="1"/>
      <w:numFmt w:val="decimal"/>
      <w:lvlText w:val="%4."/>
      <w:lvlJc w:val="left"/>
      <w:pPr>
        <w:tabs>
          <w:tab w:val="num" w:pos="2880"/>
        </w:tabs>
        <w:ind w:left="2880" w:hanging="360"/>
      </w:pPr>
    </w:lvl>
    <w:lvl w:ilvl="4" w:tplc="636EEC90" w:tentative="1">
      <w:start w:val="1"/>
      <w:numFmt w:val="decimal"/>
      <w:lvlText w:val="%5."/>
      <w:lvlJc w:val="left"/>
      <w:pPr>
        <w:tabs>
          <w:tab w:val="num" w:pos="3600"/>
        </w:tabs>
        <w:ind w:left="3600" w:hanging="360"/>
      </w:pPr>
    </w:lvl>
    <w:lvl w:ilvl="5" w:tplc="15D60872" w:tentative="1">
      <w:start w:val="1"/>
      <w:numFmt w:val="decimal"/>
      <w:lvlText w:val="%6."/>
      <w:lvlJc w:val="left"/>
      <w:pPr>
        <w:tabs>
          <w:tab w:val="num" w:pos="4320"/>
        </w:tabs>
        <w:ind w:left="4320" w:hanging="360"/>
      </w:pPr>
    </w:lvl>
    <w:lvl w:ilvl="6" w:tplc="733403C2" w:tentative="1">
      <w:start w:val="1"/>
      <w:numFmt w:val="decimal"/>
      <w:lvlText w:val="%7."/>
      <w:lvlJc w:val="left"/>
      <w:pPr>
        <w:tabs>
          <w:tab w:val="num" w:pos="5040"/>
        </w:tabs>
        <w:ind w:left="5040" w:hanging="360"/>
      </w:pPr>
    </w:lvl>
    <w:lvl w:ilvl="7" w:tplc="9F3675C4" w:tentative="1">
      <w:start w:val="1"/>
      <w:numFmt w:val="decimal"/>
      <w:lvlText w:val="%8."/>
      <w:lvlJc w:val="left"/>
      <w:pPr>
        <w:tabs>
          <w:tab w:val="num" w:pos="5760"/>
        </w:tabs>
        <w:ind w:left="5760" w:hanging="360"/>
      </w:pPr>
    </w:lvl>
    <w:lvl w:ilvl="8" w:tplc="4E86FA1E" w:tentative="1">
      <w:start w:val="1"/>
      <w:numFmt w:val="decimal"/>
      <w:lvlText w:val="%9."/>
      <w:lvlJc w:val="left"/>
      <w:pPr>
        <w:tabs>
          <w:tab w:val="num" w:pos="6480"/>
        </w:tabs>
        <w:ind w:left="6480" w:hanging="360"/>
      </w:pPr>
    </w:lvl>
  </w:abstractNum>
  <w:abstractNum w:abstractNumId="2" w15:restartNumberingAfterBreak="0">
    <w:nsid w:val="2CF26E84"/>
    <w:multiLevelType w:val="hybridMultilevel"/>
    <w:tmpl w:val="2EAE4852"/>
    <w:lvl w:ilvl="0" w:tplc="EDDEE916">
      <w:start w:val="1"/>
      <w:numFmt w:val="decimal"/>
      <w:lvlText w:val="%1."/>
      <w:lvlJc w:val="left"/>
      <w:pPr>
        <w:tabs>
          <w:tab w:val="num" w:pos="720"/>
        </w:tabs>
        <w:ind w:left="720" w:hanging="360"/>
      </w:pPr>
    </w:lvl>
    <w:lvl w:ilvl="1" w:tplc="79CC068A" w:tentative="1">
      <w:start w:val="1"/>
      <w:numFmt w:val="decimal"/>
      <w:lvlText w:val="%2."/>
      <w:lvlJc w:val="left"/>
      <w:pPr>
        <w:tabs>
          <w:tab w:val="num" w:pos="1440"/>
        </w:tabs>
        <w:ind w:left="1440" w:hanging="360"/>
      </w:pPr>
    </w:lvl>
    <w:lvl w:ilvl="2" w:tplc="2B54C07A" w:tentative="1">
      <w:start w:val="1"/>
      <w:numFmt w:val="decimal"/>
      <w:lvlText w:val="%3."/>
      <w:lvlJc w:val="left"/>
      <w:pPr>
        <w:tabs>
          <w:tab w:val="num" w:pos="2160"/>
        </w:tabs>
        <w:ind w:left="2160" w:hanging="360"/>
      </w:pPr>
    </w:lvl>
    <w:lvl w:ilvl="3" w:tplc="BF72FE3A" w:tentative="1">
      <w:start w:val="1"/>
      <w:numFmt w:val="decimal"/>
      <w:lvlText w:val="%4."/>
      <w:lvlJc w:val="left"/>
      <w:pPr>
        <w:tabs>
          <w:tab w:val="num" w:pos="2880"/>
        </w:tabs>
        <w:ind w:left="2880" w:hanging="360"/>
      </w:pPr>
    </w:lvl>
    <w:lvl w:ilvl="4" w:tplc="8D9ACEDE" w:tentative="1">
      <w:start w:val="1"/>
      <w:numFmt w:val="decimal"/>
      <w:lvlText w:val="%5."/>
      <w:lvlJc w:val="left"/>
      <w:pPr>
        <w:tabs>
          <w:tab w:val="num" w:pos="3600"/>
        </w:tabs>
        <w:ind w:left="3600" w:hanging="360"/>
      </w:pPr>
    </w:lvl>
    <w:lvl w:ilvl="5" w:tplc="996C2F8A" w:tentative="1">
      <w:start w:val="1"/>
      <w:numFmt w:val="decimal"/>
      <w:lvlText w:val="%6."/>
      <w:lvlJc w:val="left"/>
      <w:pPr>
        <w:tabs>
          <w:tab w:val="num" w:pos="4320"/>
        </w:tabs>
        <w:ind w:left="4320" w:hanging="360"/>
      </w:pPr>
    </w:lvl>
    <w:lvl w:ilvl="6" w:tplc="10C0DFDA" w:tentative="1">
      <w:start w:val="1"/>
      <w:numFmt w:val="decimal"/>
      <w:lvlText w:val="%7."/>
      <w:lvlJc w:val="left"/>
      <w:pPr>
        <w:tabs>
          <w:tab w:val="num" w:pos="5040"/>
        </w:tabs>
        <w:ind w:left="5040" w:hanging="360"/>
      </w:pPr>
    </w:lvl>
    <w:lvl w:ilvl="7" w:tplc="2C32D296" w:tentative="1">
      <w:start w:val="1"/>
      <w:numFmt w:val="decimal"/>
      <w:lvlText w:val="%8."/>
      <w:lvlJc w:val="left"/>
      <w:pPr>
        <w:tabs>
          <w:tab w:val="num" w:pos="5760"/>
        </w:tabs>
        <w:ind w:left="5760" w:hanging="360"/>
      </w:pPr>
    </w:lvl>
    <w:lvl w:ilvl="8" w:tplc="5164E19E" w:tentative="1">
      <w:start w:val="1"/>
      <w:numFmt w:val="decimal"/>
      <w:lvlText w:val="%9."/>
      <w:lvlJc w:val="left"/>
      <w:pPr>
        <w:tabs>
          <w:tab w:val="num" w:pos="6480"/>
        </w:tabs>
        <w:ind w:left="6480" w:hanging="360"/>
      </w:pPr>
    </w:lvl>
  </w:abstractNum>
  <w:abstractNum w:abstractNumId="3" w15:restartNumberingAfterBreak="0">
    <w:nsid w:val="33087C8B"/>
    <w:multiLevelType w:val="hybridMultilevel"/>
    <w:tmpl w:val="44E67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303FC"/>
    <w:multiLevelType w:val="hybridMultilevel"/>
    <w:tmpl w:val="2952AFF2"/>
    <w:lvl w:ilvl="0" w:tplc="84AAD66E">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5" w15:restartNumberingAfterBreak="0">
    <w:nsid w:val="3C2171CC"/>
    <w:multiLevelType w:val="hybridMultilevel"/>
    <w:tmpl w:val="B950CE00"/>
    <w:lvl w:ilvl="0" w:tplc="4A0E871E">
      <w:start w:val="4"/>
      <w:numFmt w:val="decimal"/>
      <w:lvlText w:val="%1."/>
      <w:lvlJc w:val="left"/>
      <w:pPr>
        <w:tabs>
          <w:tab w:val="num" w:pos="720"/>
        </w:tabs>
        <w:ind w:left="720" w:hanging="360"/>
      </w:pPr>
    </w:lvl>
    <w:lvl w:ilvl="1" w:tplc="2C507854" w:tentative="1">
      <w:start w:val="1"/>
      <w:numFmt w:val="decimal"/>
      <w:lvlText w:val="%2."/>
      <w:lvlJc w:val="left"/>
      <w:pPr>
        <w:tabs>
          <w:tab w:val="num" w:pos="1440"/>
        </w:tabs>
        <w:ind w:left="1440" w:hanging="360"/>
      </w:pPr>
    </w:lvl>
    <w:lvl w:ilvl="2" w:tplc="CF78B268" w:tentative="1">
      <w:start w:val="1"/>
      <w:numFmt w:val="decimal"/>
      <w:lvlText w:val="%3."/>
      <w:lvlJc w:val="left"/>
      <w:pPr>
        <w:tabs>
          <w:tab w:val="num" w:pos="2160"/>
        </w:tabs>
        <w:ind w:left="2160" w:hanging="360"/>
      </w:pPr>
    </w:lvl>
    <w:lvl w:ilvl="3" w:tplc="B3624CE6" w:tentative="1">
      <w:start w:val="1"/>
      <w:numFmt w:val="decimal"/>
      <w:lvlText w:val="%4."/>
      <w:lvlJc w:val="left"/>
      <w:pPr>
        <w:tabs>
          <w:tab w:val="num" w:pos="2880"/>
        </w:tabs>
        <w:ind w:left="2880" w:hanging="360"/>
      </w:pPr>
    </w:lvl>
    <w:lvl w:ilvl="4" w:tplc="72FC9D66" w:tentative="1">
      <w:start w:val="1"/>
      <w:numFmt w:val="decimal"/>
      <w:lvlText w:val="%5."/>
      <w:lvlJc w:val="left"/>
      <w:pPr>
        <w:tabs>
          <w:tab w:val="num" w:pos="3600"/>
        </w:tabs>
        <w:ind w:left="3600" w:hanging="360"/>
      </w:pPr>
    </w:lvl>
    <w:lvl w:ilvl="5" w:tplc="BBD2E1E8" w:tentative="1">
      <w:start w:val="1"/>
      <w:numFmt w:val="decimal"/>
      <w:lvlText w:val="%6."/>
      <w:lvlJc w:val="left"/>
      <w:pPr>
        <w:tabs>
          <w:tab w:val="num" w:pos="4320"/>
        </w:tabs>
        <w:ind w:left="4320" w:hanging="360"/>
      </w:pPr>
    </w:lvl>
    <w:lvl w:ilvl="6" w:tplc="38FEC24C" w:tentative="1">
      <w:start w:val="1"/>
      <w:numFmt w:val="decimal"/>
      <w:lvlText w:val="%7."/>
      <w:lvlJc w:val="left"/>
      <w:pPr>
        <w:tabs>
          <w:tab w:val="num" w:pos="5040"/>
        </w:tabs>
        <w:ind w:left="5040" w:hanging="360"/>
      </w:pPr>
    </w:lvl>
    <w:lvl w:ilvl="7" w:tplc="5A189FBC" w:tentative="1">
      <w:start w:val="1"/>
      <w:numFmt w:val="decimal"/>
      <w:lvlText w:val="%8."/>
      <w:lvlJc w:val="left"/>
      <w:pPr>
        <w:tabs>
          <w:tab w:val="num" w:pos="5760"/>
        </w:tabs>
        <w:ind w:left="5760" w:hanging="360"/>
      </w:pPr>
    </w:lvl>
    <w:lvl w:ilvl="8" w:tplc="9C587F48" w:tentative="1">
      <w:start w:val="1"/>
      <w:numFmt w:val="decimal"/>
      <w:lvlText w:val="%9."/>
      <w:lvlJc w:val="left"/>
      <w:pPr>
        <w:tabs>
          <w:tab w:val="num" w:pos="6480"/>
        </w:tabs>
        <w:ind w:left="6480" w:hanging="360"/>
      </w:pPr>
    </w:lvl>
  </w:abstractNum>
  <w:abstractNum w:abstractNumId="6" w15:restartNumberingAfterBreak="0">
    <w:nsid w:val="3ED952B9"/>
    <w:multiLevelType w:val="hybridMultilevel"/>
    <w:tmpl w:val="792623C2"/>
    <w:lvl w:ilvl="0" w:tplc="519C444A">
      <w:start w:val="1"/>
      <w:numFmt w:val="decimal"/>
      <w:lvlText w:val="%1."/>
      <w:lvlJc w:val="left"/>
      <w:pPr>
        <w:tabs>
          <w:tab w:val="num" w:pos="720"/>
        </w:tabs>
        <w:ind w:left="720" w:hanging="360"/>
      </w:pPr>
    </w:lvl>
    <w:lvl w:ilvl="1" w:tplc="2454011A" w:tentative="1">
      <w:start w:val="1"/>
      <w:numFmt w:val="decimal"/>
      <w:lvlText w:val="%2."/>
      <w:lvlJc w:val="left"/>
      <w:pPr>
        <w:tabs>
          <w:tab w:val="num" w:pos="1440"/>
        </w:tabs>
        <w:ind w:left="1440" w:hanging="360"/>
      </w:pPr>
    </w:lvl>
    <w:lvl w:ilvl="2" w:tplc="9D507392" w:tentative="1">
      <w:start w:val="1"/>
      <w:numFmt w:val="decimal"/>
      <w:lvlText w:val="%3."/>
      <w:lvlJc w:val="left"/>
      <w:pPr>
        <w:tabs>
          <w:tab w:val="num" w:pos="2160"/>
        </w:tabs>
        <w:ind w:left="2160" w:hanging="360"/>
      </w:pPr>
    </w:lvl>
    <w:lvl w:ilvl="3" w:tplc="0AD4B1B8" w:tentative="1">
      <w:start w:val="1"/>
      <w:numFmt w:val="decimal"/>
      <w:lvlText w:val="%4."/>
      <w:lvlJc w:val="left"/>
      <w:pPr>
        <w:tabs>
          <w:tab w:val="num" w:pos="2880"/>
        </w:tabs>
        <w:ind w:left="2880" w:hanging="360"/>
      </w:pPr>
    </w:lvl>
    <w:lvl w:ilvl="4" w:tplc="55B46EC4" w:tentative="1">
      <w:start w:val="1"/>
      <w:numFmt w:val="decimal"/>
      <w:lvlText w:val="%5."/>
      <w:lvlJc w:val="left"/>
      <w:pPr>
        <w:tabs>
          <w:tab w:val="num" w:pos="3600"/>
        </w:tabs>
        <w:ind w:left="3600" w:hanging="360"/>
      </w:pPr>
    </w:lvl>
    <w:lvl w:ilvl="5" w:tplc="C652B6BE" w:tentative="1">
      <w:start w:val="1"/>
      <w:numFmt w:val="decimal"/>
      <w:lvlText w:val="%6."/>
      <w:lvlJc w:val="left"/>
      <w:pPr>
        <w:tabs>
          <w:tab w:val="num" w:pos="4320"/>
        </w:tabs>
        <w:ind w:left="4320" w:hanging="360"/>
      </w:pPr>
    </w:lvl>
    <w:lvl w:ilvl="6" w:tplc="4E08FCE2" w:tentative="1">
      <w:start w:val="1"/>
      <w:numFmt w:val="decimal"/>
      <w:lvlText w:val="%7."/>
      <w:lvlJc w:val="left"/>
      <w:pPr>
        <w:tabs>
          <w:tab w:val="num" w:pos="5040"/>
        </w:tabs>
        <w:ind w:left="5040" w:hanging="360"/>
      </w:pPr>
    </w:lvl>
    <w:lvl w:ilvl="7" w:tplc="33BC427A" w:tentative="1">
      <w:start w:val="1"/>
      <w:numFmt w:val="decimal"/>
      <w:lvlText w:val="%8."/>
      <w:lvlJc w:val="left"/>
      <w:pPr>
        <w:tabs>
          <w:tab w:val="num" w:pos="5760"/>
        </w:tabs>
        <w:ind w:left="5760" w:hanging="360"/>
      </w:pPr>
    </w:lvl>
    <w:lvl w:ilvl="8" w:tplc="8E8C059A" w:tentative="1">
      <w:start w:val="1"/>
      <w:numFmt w:val="decimal"/>
      <w:lvlText w:val="%9."/>
      <w:lvlJc w:val="left"/>
      <w:pPr>
        <w:tabs>
          <w:tab w:val="num" w:pos="6480"/>
        </w:tabs>
        <w:ind w:left="6480" w:hanging="360"/>
      </w:pPr>
    </w:lvl>
  </w:abstractNum>
  <w:abstractNum w:abstractNumId="7" w15:restartNumberingAfterBreak="0">
    <w:nsid w:val="487C073D"/>
    <w:multiLevelType w:val="hybridMultilevel"/>
    <w:tmpl w:val="C19C1FEE"/>
    <w:lvl w:ilvl="0" w:tplc="3880D680">
      <w:start w:val="1"/>
      <w:numFmt w:val="bullet"/>
      <w:lvlText w:val="•"/>
      <w:lvlJc w:val="left"/>
      <w:pPr>
        <w:tabs>
          <w:tab w:val="num" w:pos="720"/>
        </w:tabs>
        <w:ind w:left="720" w:hanging="360"/>
      </w:pPr>
      <w:rPr>
        <w:rFonts w:ascii="Arial" w:hAnsi="Arial" w:hint="default"/>
      </w:rPr>
    </w:lvl>
    <w:lvl w:ilvl="1" w:tplc="8B247722" w:tentative="1">
      <w:start w:val="1"/>
      <w:numFmt w:val="bullet"/>
      <w:lvlText w:val="•"/>
      <w:lvlJc w:val="left"/>
      <w:pPr>
        <w:tabs>
          <w:tab w:val="num" w:pos="1440"/>
        </w:tabs>
        <w:ind w:left="1440" w:hanging="360"/>
      </w:pPr>
      <w:rPr>
        <w:rFonts w:ascii="Arial" w:hAnsi="Arial" w:hint="default"/>
      </w:rPr>
    </w:lvl>
    <w:lvl w:ilvl="2" w:tplc="C15A5336" w:tentative="1">
      <w:start w:val="1"/>
      <w:numFmt w:val="bullet"/>
      <w:lvlText w:val="•"/>
      <w:lvlJc w:val="left"/>
      <w:pPr>
        <w:tabs>
          <w:tab w:val="num" w:pos="2160"/>
        </w:tabs>
        <w:ind w:left="2160" w:hanging="360"/>
      </w:pPr>
      <w:rPr>
        <w:rFonts w:ascii="Arial" w:hAnsi="Arial" w:hint="default"/>
      </w:rPr>
    </w:lvl>
    <w:lvl w:ilvl="3" w:tplc="C42077A6" w:tentative="1">
      <w:start w:val="1"/>
      <w:numFmt w:val="bullet"/>
      <w:lvlText w:val="•"/>
      <w:lvlJc w:val="left"/>
      <w:pPr>
        <w:tabs>
          <w:tab w:val="num" w:pos="2880"/>
        </w:tabs>
        <w:ind w:left="2880" w:hanging="360"/>
      </w:pPr>
      <w:rPr>
        <w:rFonts w:ascii="Arial" w:hAnsi="Arial" w:hint="default"/>
      </w:rPr>
    </w:lvl>
    <w:lvl w:ilvl="4" w:tplc="8A0EC8A4" w:tentative="1">
      <w:start w:val="1"/>
      <w:numFmt w:val="bullet"/>
      <w:lvlText w:val="•"/>
      <w:lvlJc w:val="left"/>
      <w:pPr>
        <w:tabs>
          <w:tab w:val="num" w:pos="3600"/>
        </w:tabs>
        <w:ind w:left="3600" w:hanging="360"/>
      </w:pPr>
      <w:rPr>
        <w:rFonts w:ascii="Arial" w:hAnsi="Arial" w:hint="default"/>
      </w:rPr>
    </w:lvl>
    <w:lvl w:ilvl="5" w:tplc="B13CC54A" w:tentative="1">
      <w:start w:val="1"/>
      <w:numFmt w:val="bullet"/>
      <w:lvlText w:val="•"/>
      <w:lvlJc w:val="left"/>
      <w:pPr>
        <w:tabs>
          <w:tab w:val="num" w:pos="4320"/>
        </w:tabs>
        <w:ind w:left="4320" w:hanging="360"/>
      </w:pPr>
      <w:rPr>
        <w:rFonts w:ascii="Arial" w:hAnsi="Arial" w:hint="default"/>
      </w:rPr>
    </w:lvl>
    <w:lvl w:ilvl="6" w:tplc="3C26D12C" w:tentative="1">
      <w:start w:val="1"/>
      <w:numFmt w:val="bullet"/>
      <w:lvlText w:val="•"/>
      <w:lvlJc w:val="left"/>
      <w:pPr>
        <w:tabs>
          <w:tab w:val="num" w:pos="5040"/>
        </w:tabs>
        <w:ind w:left="5040" w:hanging="360"/>
      </w:pPr>
      <w:rPr>
        <w:rFonts w:ascii="Arial" w:hAnsi="Arial" w:hint="default"/>
      </w:rPr>
    </w:lvl>
    <w:lvl w:ilvl="7" w:tplc="27182836" w:tentative="1">
      <w:start w:val="1"/>
      <w:numFmt w:val="bullet"/>
      <w:lvlText w:val="•"/>
      <w:lvlJc w:val="left"/>
      <w:pPr>
        <w:tabs>
          <w:tab w:val="num" w:pos="5760"/>
        </w:tabs>
        <w:ind w:left="5760" w:hanging="360"/>
      </w:pPr>
      <w:rPr>
        <w:rFonts w:ascii="Arial" w:hAnsi="Arial" w:hint="default"/>
      </w:rPr>
    </w:lvl>
    <w:lvl w:ilvl="8" w:tplc="ED6AC1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D028BA"/>
    <w:multiLevelType w:val="hybridMultilevel"/>
    <w:tmpl w:val="5A981692"/>
    <w:lvl w:ilvl="0" w:tplc="0409000F">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9" w15:restartNumberingAfterBreak="0">
    <w:nsid w:val="4ECD6045"/>
    <w:multiLevelType w:val="hybridMultilevel"/>
    <w:tmpl w:val="F1282F92"/>
    <w:lvl w:ilvl="0" w:tplc="4FB8B0A4">
      <w:start w:val="1"/>
      <w:numFmt w:val="decimal"/>
      <w:lvlText w:val="%1."/>
      <w:lvlJc w:val="left"/>
      <w:pPr>
        <w:tabs>
          <w:tab w:val="num" w:pos="720"/>
        </w:tabs>
        <w:ind w:left="720" w:hanging="360"/>
      </w:pPr>
    </w:lvl>
    <w:lvl w:ilvl="1" w:tplc="244E4736" w:tentative="1">
      <w:start w:val="1"/>
      <w:numFmt w:val="decimal"/>
      <w:lvlText w:val="%2."/>
      <w:lvlJc w:val="left"/>
      <w:pPr>
        <w:tabs>
          <w:tab w:val="num" w:pos="1440"/>
        </w:tabs>
        <w:ind w:left="1440" w:hanging="360"/>
      </w:pPr>
    </w:lvl>
    <w:lvl w:ilvl="2" w:tplc="78BE6B50" w:tentative="1">
      <w:start w:val="1"/>
      <w:numFmt w:val="decimal"/>
      <w:lvlText w:val="%3."/>
      <w:lvlJc w:val="left"/>
      <w:pPr>
        <w:tabs>
          <w:tab w:val="num" w:pos="2160"/>
        </w:tabs>
        <w:ind w:left="2160" w:hanging="360"/>
      </w:pPr>
    </w:lvl>
    <w:lvl w:ilvl="3" w:tplc="65CE162E" w:tentative="1">
      <w:start w:val="1"/>
      <w:numFmt w:val="decimal"/>
      <w:lvlText w:val="%4."/>
      <w:lvlJc w:val="left"/>
      <w:pPr>
        <w:tabs>
          <w:tab w:val="num" w:pos="2880"/>
        </w:tabs>
        <w:ind w:left="2880" w:hanging="360"/>
      </w:pPr>
    </w:lvl>
    <w:lvl w:ilvl="4" w:tplc="43267F28" w:tentative="1">
      <w:start w:val="1"/>
      <w:numFmt w:val="decimal"/>
      <w:lvlText w:val="%5."/>
      <w:lvlJc w:val="left"/>
      <w:pPr>
        <w:tabs>
          <w:tab w:val="num" w:pos="3600"/>
        </w:tabs>
        <w:ind w:left="3600" w:hanging="360"/>
      </w:pPr>
    </w:lvl>
    <w:lvl w:ilvl="5" w:tplc="A442F550" w:tentative="1">
      <w:start w:val="1"/>
      <w:numFmt w:val="decimal"/>
      <w:lvlText w:val="%6."/>
      <w:lvlJc w:val="left"/>
      <w:pPr>
        <w:tabs>
          <w:tab w:val="num" w:pos="4320"/>
        </w:tabs>
        <w:ind w:left="4320" w:hanging="360"/>
      </w:pPr>
    </w:lvl>
    <w:lvl w:ilvl="6" w:tplc="9016356A" w:tentative="1">
      <w:start w:val="1"/>
      <w:numFmt w:val="decimal"/>
      <w:lvlText w:val="%7."/>
      <w:lvlJc w:val="left"/>
      <w:pPr>
        <w:tabs>
          <w:tab w:val="num" w:pos="5040"/>
        </w:tabs>
        <w:ind w:left="5040" w:hanging="360"/>
      </w:pPr>
    </w:lvl>
    <w:lvl w:ilvl="7" w:tplc="985C674C" w:tentative="1">
      <w:start w:val="1"/>
      <w:numFmt w:val="decimal"/>
      <w:lvlText w:val="%8."/>
      <w:lvlJc w:val="left"/>
      <w:pPr>
        <w:tabs>
          <w:tab w:val="num" w:pos="5760"/>
        </w:tabs>
        <w:ind w:left="5760" w:hanging="360"/>
      </w:pPr>
    </w:lvl>
    <w:lvl w:ilvl="8" w:tplc="4F062DA0" w:tentative="1">
      <w:start w:val="1"/>
      <w:numFmt w:val="decimal"/>
      <w:lvlText w:val="%9."/>
      <w:lvlJc w:val="left"/>
      <w:pPr>
        <w:tabs>
          <w:tab w:val="num" w:pos="6480"/>
        </w:tabs>
        <w:ind w:left="6480" w:hanging="360"/>
      </w:pPr>
    </w:lvl>
  </w:abstractNum>
  <w:abstractNum w:abstractNumId="10" w15:restartNumberingAfterBreak="0">
    <w:nsid w:val="502C696E"/>
    <w:multiLevelType w:val="hybridMultilevel"/>
    <w:tmpl w:val="D9DA3AF2"/>
    <w:lvl w:ilvl="0" w:tplc="D6144B60">
      <w:start w:val="1"/>
      <w:numFmt w:val="decimal"/>
      <w:lvlText w:val="%1."/>
      <w:lvlJc w:val="left"/>
      <w:pPr>
        <w:tabs>
          <w:tab w:val="num" w:pos="720"/>
        </w:tabs>
        <w:ind w:left="720" w:hanging="360"/>
      </w:pPr>
    </w:lvl>
    <w:lvl w:ilvl="1" w:tplc="33D60EE2" w:tentative="1">
      <w:start w:val="1"/>
      <w:numFmt w:val="decimal"/>
      <w:lvlText w:val="%2."/>
      <w:lvlJc w:val="left"/>
      <w:pPr>
        <w:tabs>
          <w:tab w:val="num" w:pos="1440"/>
        </w:tabs>
        <w:ind w:left="1440" w:hanging="360"/>
      </w:pPr>
    </w:lvl>
    <w:lvl w:ilvl="2" w:tplc="4A5E7D50" w:tentative="1">
      <w:start w:val="1"/>
      <w:numFmt w:val="decimal"/>
      <w:lvlText w:val="%3."/>
      <w:lvlJc w:val="left"/>
      <w:pPr>
        <w:tabs>
          <w:tab w:val="num" w:pos="2160"/>
        </w:tabs>
        <w:ind w:left="2160" w:hanging="360"/>
      </w:pPr>
    </w:lvl>
    <w:lvl w:ilvl="3" w:tplc="F544D408" w:tentative="1">
      <w:start w:val="1"/>
      <w:numFmt w:val="decimal"/>
      <w:lvlText w:val="%4."/>
      <w:lvlJc w:val="left"/>
      <w:pPr>
        <w:tabs>
          <w:tab w:val="num" w:pos="2880"/>
        </w:tabs>
        <w:ind w:left="2880" w:hanging="360"/>
      </w:pPr>
    </w:lvl>
    <w:lvl w:ilvl="4" w:tplc="C930B58A" w:tentative="1">
      <w:start w:val="1"/>
      <w:numFmt w:val="decimal"/>
      <w:lvlText w:val="%5."/>
      <w:lvlJc w:val="left"/>
      <w:pPr>
        <w:tabs>
          <w:tab w:val="num" w:pos="3600"/>
        </w:tabs>
        <w:ind w:left="3600" w:hanging="360"/>
      </w:pPr>
    </w:lvl>
    <w:lvl w:ilvl="5" w:tplc="149E5050" w:tentative="1">
      <w:start w:val="1"/>
      <w:numFmt w:val="decimal"/>
      <w:lvlText w:val="%6."/>
      <w:lvlJc w:val="left"/>
      <w:pPr>
        <w:tabs>
          <w:tab w:val="num" w:pos="4320"/>
        </w:tabs>
        <w:ind w:left="4320" w:hanging="360"/>
      </w:pPr>
    </w:lvl>
    <w:lvl w:ilvl="6" w:tplc="641C1448" w:tentative="1">
      <w:start w:val="1"/>
      <w:numFmt w:val="decimal"/>
      <w:lvlText w:val="%7."/>
      <w:lvlJc w:val="left"/>
      <w:pPr>
        <w:tabs>
          <w:tab w:val="num" w:pos="5040"/>
        </w:tabs>
        <w:ind w:left="5040" w:hanging="360"/>
      </w:pPr>
    </w:lvl>
    <w:lvl w:ilvl="7" w:tplc="4CC21B00" w:tentative="1">
      <w:start w:val="1"/>
      <w:numFmt w:val="decimal"/>
      <w:lvlText w:val="%8."/>
      <w:lvlJc w:val="left"/>
      <w:pPr>
        <w:tabs>
          <w:tab w:val="num" w:pos="5760"/>
        </w:tabs>
        <w:ind w:left="5760" w:hanging="360"/>
      </w:pPr>
    </w:lvl>
    <w:lvl w:ilvl="8" w:tplc="18B89522" w:tentative="1">
      <w:start w:val="1"/>
      <w:numFmt w:val="decimal"/>
      <w:lvlText w:val="%9."/>
      <w:lvlJc w:val="left"/>
      <w:pPr>
        <w:tabs>
          <w:tab w:val="num" w:pos="6480"/>
        </w:tabs>
        <w:ind w:left="6480" w:hanging="360"/>
      </w:pPr>
    </w:lvl>
  </w:abstractNum>
  <w:abstractNum w:abstractNumId="11" w15:restartNumberingAfterBreak="0">
    <w:nsid w:val="59B25945"/>
    <w:multiLevelType w:val="hybridMultilevel"/>
    <w:tmpl w:val="F0E0886C"/>
    <w:lvl w:ilvl="0" w:tplc="151881B2">
      <w:start w:val="1"/>
      <w:numFmt w:val="decimal"/>
      <w:lvlText w:val="%1."/>
      <w:lvlJc w:val="left"/>
      <w:pPr>
        <w:tabs>
          <w:tab w:val="num" w:pos="720"/>
        </w:tabs>
        <w:ind w:left="720" w:hanging="360"/>
      </w:pPr>
    </w:lvl>
    <w:lvl w:ilvl="1" w:tplc="2E840DC0" w:tentative="1">
      <w:start w:val="1"/>
      <w:numFmt w:val="decimal"/>
      <w:lvlText w:val="%2."/>
      <w:lvlJc w:val="left"/>
      <w:pPr>
        <w:tabs>
          <w:tab w:val="num" w:pos="1440"/>
        </w:tabs>
        <w:ind w:left="1440" w:hanging="360"/>
      </w:pPr>
    </w:lvl>
    <w:lvl w:ilvl="2" w:tplc="BF3E3826" w:tentative="1">
      <w:start w:val="1"/>
      <w:numFmt w:val="decimal"/>
      <w:lvlText w:val="%3."/>
      <w:lvlJc w:val="left"/>
      <w:pPr>
        <w:tabs>
          <w:tab w:val="num" w:pos="2160"/>
        </w:tabs>
        <w:ind w:left="2160" w:hanging="360"/>
      </w:pPr>
    </w:lvl>
    <w:lvl w:ilvl="3" w:tplc="972E2DE8" w:tentative="1">
      <w:start w:val="1"/>
      <w:numFmt w:val="decimal"/>
      <w:lvlText w:val="%4."/>
      <w:lvlJc w:val="left"/>
      <w:pPr>
        <w:tabs>
          <w:tab w:val="num" w:pos="2880"/>
        </w:tabs>
        <w:ind w:left="2880" w:hanging="360"/>
      </w:pPr>
    </w:lvl>
    <w:lvl w:ilvl="4" w:tplc="A0A6B166" w:tentative="1">
      <w:start w:val="1"/>
      <w:numFmt w:val="decimal"/>
      <w:lvlText w:val="%5."/>
      <w:lvlJc w:val="left"/>
      <w:pPr>
        <w:tabs>
          <w:tab w:val="num" w:pos="3600"/>
        </w:tabs>
        <w:ind w:left="3600" w:hanging="360"/>
      </w:pPr>
    </w:lvl>
    <w:lvl w:ilvl="5" w:tplc="2C3C41B6" w:tentative="1">
      <w:start w:val="1"/>
      <w:numFmt w:val="decimal"/>
      <w:lvlText w:val="%6."/>
      <w:lvlJc w:val="left"/>
      <w:pPr>
        <w:tabs>
          <w:tab w:val="num" w:pos="4320"/>
        </w:tabs>
        <w:ind w:left="4320" w:hanging="360"/>
      </w:pPr>
    </w:lvl>
    <w:lvl w:ilvl="6" w:tplc="731A3E56" w:tentative="1">
      <w:start w:val="1"/>
      <w:numFmt w:val="decimal"/>
      <w:lvlText w:val="%7."/>
      <w:lvlJc w:val="left"/>
      <w:pPr>
        <w:tabs>
          <w:tab w:val="num" w:pos="5040"/>
        </w:tabs>
        <w:ind w:left="5040" w:hanging="360"/>
      </w:pPr>
    </w:lvl>
    <w:lvl w:ilvl="7" w:tplc="E9E4933A" w:tentative="1">
      <w:start w:val="1"/>
      <w:numFmt w:val="decimal"/>
      <w:lvlText w:val="%8."/>
      <w:lvlJc w:val="left"/>
      <w:pPr>
        <w:tabs>
          <w:tab w:val="num" w:pos="5760"/>
        </w:tabs>
        <w:ind w:left="5760" w:hanging="360"/>
      </w:pPr>
    </w:lvl>
    <w:lvl w:ilvl="8" w:tplc="86B44632" w:tentative="1">
      <w:start w:val="1"/>
      <w:numFmt w:val="decimal"/>
      <w:lvlText w:val="%9."/>
      <w:lvlJc w:val="left"/>
      <w:pPr>
        <w:tabs>
          <w:tab w:val="num" w:pos="6480"/>
        </w:tabs>
        <w:ind w:left="6480" w:hanging="360"/>
      </w:pPr>
    </w:lvl>
  </w:abstractNum>
  <w:abstractNum w:abstractNumId="12" w15:restartNumberingAfterBreak="0">
    <w:nsid w:val="5BF91B7E"/>
    <w:multiLevelType w:val="hybridMultilevel"/>
    <w:tmpl w:val="D362E04A"/>
    <w:lvl w:ilvl="0" w:tplc="FB685E98">
      <w:start w:val="1"/>
      <w:numFmt w:val="decimal"/>
      <w:lvlText w:val="%1."/>
      <w:lvlJc w:val="left"/>
      <w:pPr>
        <w:tabs>
          <w:tab w:val="num" w:pos="720"/>
        </w:tabs>
        <w:ind w:left="720" w:hanging="360"/>
      </w:pPr>
    </w:lvl>
    <w:lvl w:ilvl="1" w:tplc="62EC6B86" w:tentative="1">
      <w:start w:val="1"/>
      <w:numFmt w:val="decimal"/>
      <w:lvlText w:val="%2."/>
      <w:lvlJc w:val="left"/>
      <w:pPr>
        <w:tabs>
          <w:tab w:val="num" w:pos="1440"/>
        </w:tabs>
        <w:ind w:left="1440" w:hanging="360"/>
      </w:pPr>
    </w:lvl>
    <w:lvl w:ilvl="2" w:tplc="6E9CEB2A" w:tentative="1">
      <w:start w:val="1"/>
      <w:numFmt w:val="decimal"/>
      <w:lvlText w:val="%3."/>
      <w:lvlJc w:val="left"/>
      <w:pPr>
        <w:tabs>
          <w:tab w:val="num" w:pos="2160"/>
        </w:tabs>
        <w:ind w:left="2160" w:hanging="360"/>
      </w:pPr>
    </w:lvl>
    <w:lvl w:ilvl="3" w:tplc="3E0227F4" w:tentative="1">
      <w:start w:val="1"/>
      <w:numFmt w:val="decimal"/>
      <w:lvlText w:val="%4."/>
      <w:lvlJc w:val="left"/>
      <w:pPr>
        <w:tabs>
          <w:tab w:val="num" w:pos="2880"/>
        </w:tabs>
        <w:ind w:left="2880" w:hanging="360"/>
      </w:pPr>
    </w:lvl>
    <w:lvl w:ilvl="4" w:tplc="3754FBF0" w:tentative="1">
      <w:start w:val="1"/>
      <w:numFmt w:val="decimal"/>
      <w:lvlText w:val="%5."/>
      <w:lvlJc w:val="left"/>
      <w:pPr>
        <w:tabs>
          <w:tab w:val="num" w:pos="3600"/>
        </w:tabs>
        <w:ind w:left="3600" w:hanging="360"/>
      </w:pPr>
    </w:lvl>
    <w:lvl w:ilvl="5" w:tplc="D89A3AEE" w:tentative="1">
      <w:start w:val="1"/>
      <w:numFmt w:val="decimal"/>
      <w:lvlText w:val="%6."/>
      <w:lvlJc w:val="left"/>
      <w:pPr>
        <w:tabs>
          <w:tab w:val="num" w:pos="4320"/>
        </w:tabs>
        <w:ind w:left="4320" w:hanging="360"/>
      </w:pPr>
    </w:lvl>
    <w:lvl w:ilvl="6" w:tplc="044ADECE" w:tentative="1">
      <w:start w:val="1"/>
      <w:numFmt w:val="decimal"/>
      <w:lvlText w:val="%7."/>
      <w:lvlJc w:val="left"/>
      <w:pPr>
        <w:tabs>
          <w:tab w:val="num" w:pos="5040"/>
        </w:tabs>
        <w:ind w:left="5040" w:hanging="360"/>
      </w:pPr>
    </w:lvl>
    <w:lvl w:ilvl="7" w:tplc="3A2E4018" w:tentative="1">
      <w:start w:val="1"/>
      <w:numFmt w:val="decimal"/>
      <w:lvlText w:val="%8."/>
      <w:lvlJc w:val="left"/>
      <w:pPr>
        <w:tabs>
          <w:tab w:val="num" w:pos="5760"/>
        </w:tabs>
        <w:ind w:left="5760" w:hanging="360"/>
      </w:pPr>
    </w:lvl>
    <w:lvl w:ilvl="8" w:tplc="4712E0FA" w:tentative="1">
      <w:start w:val="1"/>
      <w:numFmt w:val="decimal"/>
      <w:lvlText w:val="%9."/>
      <w:lvlJc w:val="left"/>
      <w:pPr>
        <w:tabs>
          <w:tab w:val="num" w:pos="6480"/>
        </w:tabs>
        <w:ind w:left="6480" w:hanging="360"/>
      </w:pPr>
    </w:lvl>
  </w:abstractNum>
  <w:abstractNum w:abstractNumId="13" w15:restartNumberingAfterBreak="0">
    <w:nsid w:val="77A07A22"/>
    <w:multiLevelType w:val="hybridMultilevel"/>
    <w:tmpl w:val="95D6B14C"/>
    <w:lvl w:ilvl="0" w:tplc="66DEC9E6">
      <w:start w:val="4"/>
      <w:numFmt w:val="decimal"/>
      <w:lvlText w:val="%1."/>
      <w:lvlJc w:val="left"/>
      <w:pPr>
        <w:tabs>
          <w:tab w:val="num" w:pos="720"/>
        </w:tabs>
        <w:ind w:left="720" w:hanging="360"/>
      </w:pPr>
    </w:lvl>
    <w:lvl w:ilvl="1" w:tplc="29307C36" w:tentative="1">
      <w:start w:val="1"/>
      <w:numFmt w:val="decimal"/>
      <w:lvlText w:val="%2."/>
      <w:lvlJc w:val="left"/>
      <w:pPr>
        <w:tabs>
          <w:tab w:val="num" w:pos="1440"/>
        </w:tabs>
        <w:ind w:left="1440" w:hanging="360"/>
      </w:pPr>
    </w:lvl>
    <w:lvl w:ilvl="2" w:tplc="AF363A2E" w:tentative="1">
      <w:start w:val="1"/>
      <w:numFmt w:val="decimal"/>
      <w:lvlText w:val="%3."/>
      <w:lvlJc w:val="left"/>
      <w:pPr>
        <w:tabs>
          <w:tab w:val="num" w:pos="2160"/>
        </w:tabs>
        <w:ind w:left="2160" w:hanging="360"/>
      </w:pPr>
    </w:lvl>
    <w:lvl w:ilvl="3" w:tplc="85B0596E" w:tentative="1">
      <w:start w:val="1"/>
      <w:numFmt w:val="decimal"/>
      <w:lvlText w:val="%4."/>
      <w:lvlJc w:val="left"/>
      <w:pPr>
        <w:tabs>
          <w:tab w:val="num" w:pos="2880"/>
        </w:tabs>
        <w:ind w:left="2880" w:hanging="360"/>
      </w:pPr>
    </w:lvl>
    <w:lvl w:ilvl="4" w:tplc="5326523E" w:tentative="1">
      <w:start w:val="1"/>
      <w:numFmt w:val="decimal"/>
      <w:lvlText w:val="%5."/>
      <w:lvlJc w:val="left"/>
      <w:pPr>
        <w:tabs>
          <w:tab w:val="num" w:pos="3600"/>
        </w:tabs>
        <w:ind w:left="3600" w:hanging="360"/>
      </w:pPr>
    </w:lvl>
    <w:lvl w:ilvl="5" w:tplc="AAE0CA38" w:tentative="1">
      <w:start w:val="1"/>
      <w:numFmt w:val="decimal"/>
      <w:lvlText w:val="%6."/>
      <w:lvlJc w:val="left"/>
      <w:pPr>
        <w:tabs>
          <w:tab w:val="num" w:pos="4320"/>
        </w:tabs>
        <w:ind w:left="4320" w:hanging="360"/>
      </w:pPr>
    </w:lvl>
    <w:lvl w:ilvl="6" w:tplc="5DCE0BEE" w:tentative="1">
      <w:start w:val="1"/>
      <w:numFmt w:val="decimal"/>
      <w:lvlText w:val="%7."/>
      <w:lvlJc w:val="left"/>
      <w:pPr>
        <w:tabs>
          <w:tab w:val="num" w:pos="5040"/>
        </w:tabs>
        <w:ind w:left="5040" w:hanging="360"/>
      </w:pPr>
    </w:lvl>
    <w:lvl w:ilvl="7" w:tplc="FA60D0A2" w:tentative="1">
      <w:start w:val="1"/>
      <w:numFmt w:val="decimal"/>
      <w:lvlText w:val="%8."/>
      <w:lvlJc w:val="left"/>
      <w:pPr>
        <w:tabs>
          <w:tab w:val="num" w:pos="5760"/>
        </w:tabs>
        <w:ind w:left="5760" w:hanging="360"/>
      </w:pPr>
    </w:lvl>
    <w:lvl w:ilvl="8" w:tplc="868C3D12" w:tentative="1">
      <w:start w:val="1"/>
      <w:numFmt w:val="decimal"/>
      <w:lvlText w:val="%9."/>
      <w:lvlJc w:val="left"/>
      <w:pPr>
        <w:tabs>
          <w:tab w:val="num" w:pos="6480"/>
        </w:tabs>
        <w:ind w:left="6480" w:hanging="360"/>
      </w:pPr>
    </w:lvl>
  </w:abstractNum>
  <w:num w:numId="1">
    <w:abstractNumId w:val="10"/>
  </w:num>
  <w:num w:numId="2">
    <w:abstractNumId w:val="5"/>
  </w:num>
  <w:num w:numId="3">
    <w:abstractNumId w:val="3"/>
  </w:num>
  <w:num w:numId="4">
    <w:abstractNumId w:val="4"/>
  </w:num>
  <w:num w:numId="5">
    <w:abstractNumId w:val="8"/>
  </w:num>
  <w:num w:numId="6">
    <w:abstractNumId w:val="6"/>
  </w:num>
  <w:num w:numId="7">
    <w:abstractNumId w:val="1"/>
  </w:num>
  <w:num w:numId="8">
    <w:abstractNumId w:val="0"/>
  </w:num>
  <w:num w:numId="9">
    <w:abstractNumId w:val="12"/>
  </w:num>
  <w:num w:numId="10">
    <w:abstractNumId w:val="7"/>
  </w:num>
  <w:num w:numId="11">
    <w:abstractNumId w:val="11"/>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A5"/>
    <w:rsid w:val="00007FBA"/>
    <w:rsid w:val="00014C8B"/>
    <w:rsid w:val="00014D62"/>
    <w:rsid w:val="0002049A"/>
    <w:rsid w:val="00022CAD"/>
    <w:rsid w:val="000332C7"/>
    <w:rsid w:val="00041B43"/>
    <w:rsid w:val="00042A19"/>
    <w:rsid w:val="00053685"/>
    <w:rsid w:val="00064C04"/>
    <w:rsid w:val="00074A46"/>
    <w:rsid w:val="00080A18"/>
    <w:rsid w:val="00085656"/>
    <w:rsid w:val="00092F40"/>
    <w:rsid w:val="000945F6"/>
    <w:rsid w:val="000B40EA"/>
    <w:rsid w:val="000B7167"/>
    <w:rsid w:val="000C028F"/>
    <w:rsid w:val="000C7037"/>
    <w:rsid w:val="000D09D6"/>
    <w:rsid w:val="000D1C95"/>
    <w:rsid w:val="000D605F"/>
    <w:rsid w:val="000E1D46"/>
    <w:rsid w:val="000E3CEF"/>
    <w:rsid w:val="000F0E49"/>
    <w:rsid w:val="000F0E99"/>
    <w:rsid w:val="000F6784"/>
    <w:rsid w:val="00101737"/>
    <w:rsid w:val="00102C42"/>
    <w:rsid w:val="00103AFD"/>
    <w:rsid w:val="00105A38"/>
    <w:rsid w:val="00115949"/>
    <w:rsid w:val="001262AA"/>
    <w:rsid w:val="00130879"/>
    <w:rsid w:val="00136578"/>
    <w:rsid w:val="00142E03"/>
    <w:rsid w:val="001436B9"/>
    <w:rsid w:val="00143BEA"/>
    <w:rsid w:val="001506FC"/>
    <w:rsid w:val="00153962"/>
    <w:rsid w:val="0016715E"/>
    <w:rsid w:val="001700B6"/>
    <w:rsid w:val="001746AD"/>
    <w:rsid w:val="0017704D"/>
    <w:rsid w:val="00180D30"/>
    <w:rsid w:val="00181F89"/>
    <w:rsid w:val="00182219"/>
    <w:rsid w:val="0018532C"/>
    <w:rsid w:val="001908CE"/>
    <w:rsid w:val="00191406"/>
    <w:rsid w:val="00191763"/>
    <w:rsid w:val="00191B32"/>
    <w:rsid w:val="00194341"/>
    <w:rsid w:val="00196287"/>
    <w:rsid w:val="00197F01"/>
    <w:rsid w:val="001A4A39"/>
    <w:rsid w:val="001A54BD"/>
    <w:rsid w:val="001B3402"/>
    <w:rsid w:val="001B66BA"/>
    <w:rsid w:val="001B7392"/>
    <w:rsid w:val="001D01B1"/>
    <w:rsid w:val="001D5817"/>
    <w:rsid w:val="001D6543"/>
    <w:rsid w:val="001D73E4"/>
    <w:rsid w:val="001D7DEB"/>
    <w:rsid w:val="001E251B"/>
    <w:rsid w:val="001E3899"/>
    <w:rsid w:val="001E3D4E"/>
    <w:rsid w:val="001F4E37"/>
    <w:rsid w:val="0020350A"/>
    <w:rsid w:val="00205F2B"/>
    <w:rsid w:val="00207C72"/>
    <w:rsid w:val="00212615"/>
    <w:rsid w:val="002161FC"/>
    <w:rsid w:val="00220A35"/>
    <w:rsid w:val="00221262"/>
    <w:rsid w:val="002333FA"/>
    <w:rsid w:val="00234E73"/>
    <w:rsid w:val="00237E77"/>
    <w:rsid w:val="00237FA5"/>
    <w:rsid w:val="002414DF"/>
    <w:rsid w:val="002418AE"/>
    <w:rsid w:val="00251026"/>
    <w:rsid w:val="00254E1A"/>
    <w:rsid w:val="00255232"/>
    <w:rsid w:val="00260500"/>
    <w:rsid w:val="002642A9"/>
    <w:rsid w:val="00267F51"/>
    <w:rsid w:val="0027479D"/>
    <w:rsid w:val="002756D3"/>
    <w:rsid w:val="002775E2"/>
    <w:rsid w:val="002776F3"/>
    <w:rsid w:val="00281D7B"/>
    <w:rsid w:val="00286D30"/>
    <w:rsid w:val="002A16CC"/>
    <w:rsid w:val="002A24F7"/>
    <w:rsid w:val="002B17C7"/>
    <w:rsid w:val="002B1A39"/>
    <w:rsid w:val="002B39E5"/>
    <w:rsid w:val="002B425C"/>
    <w:rsid w:val="002C1FB2"/>
    <w:rsid w:val="002C34F9"/>
    <w:rsid w:val="002C3EAE"/>
    <w:rsid w:val="002C77CE"/>
    <w:rsid w:val="002D05BB"/>
    <w:rsid w:val="002D1292"/>
    <w:rsid w:val="002D1541"/>
    <w:rsid w:val="002D3544"/>
    <w:rsid w:val="002D5CDF"/>
    <w:rsid w:val="002D5F9D"/>
    <w:rsid w:val="002D6527"/>
    <w:rsid w:val="002E28FD"/>
    <w:rsid w:val="002E33A4"/>
    <w:rsid w:val="002E54FD"/>
    <w:rsid w:val="002F14F1"/>
    <w:rsid w:val="003020B2"/>
    <w:rsid w:val="00316B7D"/>
    <w:rsid w:val="00317562"/>
    <w:rsid w:val="00317BD1"/>
    <w:rsid w:val="00325AC3"/>
    <w:rsid w:val="00330281"/>
    <w:rsid w:val="003324EA"/>
    <w:rsid w:val="003331DA"/>
    <w:rsid w:val="0034099B"/>
    <w:rsid w:val="00340CE1"/>
    <w:rsid w:val="003428BA"/>
    <w:rsid w:val="00345980"/>
    <w:rsid w:val="00353C02"/>
    <w:rsid w:val="00357DE3"/>
    <w:rsid w:val="003620A8"/>
    <w:rsid w:val="00365A9B"/>
    <w:rsid w:val="00367327"/>
    <w:rsid w:val="00380102"/>
    <w:rsid w:val="00380BD9"/>
    <w:rsid w:val="003A19A4"/>
    <w:rsid w:val="003A60B7"/>
    <w:rsid w:val="003B7529"/>
    <w:rsid w:val="003C0054"/>
    <w:rsid w:val="003C2AF7"/>
    <w:rsid w:val="003C6254"/>
    <w:rsid w:val="003D1E89"/>
    <w:rsid w:val="003D30BD"/>
    <w:rsid w:val="003D4B71"/>
    <w:rsid w:val="003D6B6C"/>
    <w:rsid w:val="003E033F"/>
    <w:rsid w:val="003F43D0"/>
    <w:rsid w:val="003F6777"/>
    <w:rsid w:val="003F68AF"/>
    <w:rsid w:val="003F7657"/>
    <w:rsid w:val="00400911"/>
    <w:rsid w:val="00407755"/>
    <w:rsid w:val="00407924"/>
    <w:rsid w:val="004109B1"/>
    <w:rsid w:val="0041342C"/>
    <w:rsid w:val="00414A2F"/>
    <w:rsid w:val="00421119"/>
    <w:rsid w:val="00421130"/>
    <w:rsid w:val="00440395"/>
    <w:rsid w:val="0044149D"/>
    <w:rsid w:val="00441B8C"/>
    <w:rsid w:val="004517A4"/>
    <w:rsid w:val="004529EE"/>
    <w:rsid w:val="00453D42"/>
    <w:rsid w:val="00455D74"/>
    <w:rsid w:val="00457001"/>
    <w:rsid w:val="004619BC"/>
    <w:rsid w:val="00465003"/>
    <w:rsid w:val="004722CB"/>
    <w:rsid w:val="004940AD"/>
    <w:rsid w:val="004A2047"/>
    <w:rsid w:val="004B0790"/>
    <w:rsid w:val="004B3859"/>
    <w:rsid w:val="004C73B9"/>
    <w:rsid w:val="004D000E"/>
    <w:rsid w:val="004E1D35"/>
    <w:rsid w:val="004E59F6"/>
    <w:rsid w:val="004E6E00"/>
    <w:rsid w:val="004E7D39"/>
    <w:rsid w:val="004F3C95"/>
    <w:rsid w:val="004F4AEC"/>
    <w:rsid w:val="005005A5"/>
    <w:rsid w:val="00502AE2"/>
    <w:rsid w:val="005058A6"/>
    <w:rsid w:val="005129C3"/>
    <w:rsid w:val="00512B97"/>
    <w:rsid w:val="00514370"/>
    <w:rsid w:val="0051450C"/>
    <w:rsid w:val="0052003E"/>
    <w:rsid w:val="00524421"/>
    <w:rsid w:val="00525C7F"/>
    <w:rsid w:val="0053055E"/>
    <w:rsid w:val="005337CF"/>
    <w:rsid w:val="00533F0D"/>
    <w:rsid w:val="00534493"/>
    <w:rsid w:val="00537722"/>
    <w:rsid w:val="0054027E"/>
    <w:rsid w:val="005437B4"/>
    <w:rsid w:val="00543A0F"/>
    <w:rsid w:val="0054781B"/>
    <w:rsid w:val="005506AA"/>
    <w:rsid w:val="0055601B"/>
    <w:rsid w:val="0057141F"/>
    <w:rsid w:val="00571ACA"/>
    <w:rsid w:val="00574232"/>
    <w:rsid w:val="0057591A"/>
    <w:rsid w:val="00577D68"/>
    <w:rsid w:val="005801A3"/>
    <w:rsid w:val="00581F07"/>
    <w:rsid w:val="005845E1"/>
    <w:rsid w:val="0058679E"/>
    <w:rsid w:val="00586EC1"/>
    <w:rsid w:val="00590304"/>
    <w:rsid w:val="00590F7B"/>
    <w:rsid w:val="005917E6"/>
    <w:rsid w:val="005937F2"/>
    <w:rsid w:val="00594546"/>
    <w:rsid w:val="0059611B"/>
    <w:rsid w:val="00597EE5"/>
    <w:rsid w:val="005A44F3"/>
    <w:rsid w:val="005A5C7B"/>
    <w:rsid w:val="005A5F33"/>
    <w:rsid w:val="005B132F"/>
    <w:rsid w:val="005B2E63"/>
    <w:rsid w:val="005C0ECE"/>
    <w:rsid w:val="005C4995"/>
    <w:rsid w:val="005C5F88"/>
    <w:rsid w:val="005C7179"/>
    <w:rsid w:val="005C72C2"/>
    <w:rsid w:val="005D1FC9"/>
    <w:rsid w:val="005F60CB"/>
    <w:rsid w:val="005F63B1"/>
    <w:rsid w:val="005F682C"/>
    <w:rsid w:val="00600700"/>
    <w:rsid w:val="006051AC"/>
    <w:rsid w:val="00605F6C"/>
    <w:rsid w:val="006116D7"/>
    <w:rsid w:val="00615D77"/>
    <w:rsid w:val="0061739D"/>
    <w:rsid w:val="00620C72"/>
    <w:rsid w:val="00624A46"/>
    <w:rsid w:val="00624EC3"/>
    <w:rsid w:val="00627627"/>
    <w:rsid w:val="006311A3"/>
    <w:rsid w:val="00640613"/>
    <w:rsid w:val="00640A47"/>
    <w:rsid w:val="00651A97"/>
    <w:rsid w:val="006530A0"/>
    <w:rsid w:val="00653F99"/>
    <w:rsid w:val="00654A0F"/>
    <w:rsid w:val="00656537"/>
    <w:rsid w:val="00670F72"/>
    <w:rsid w:val="0067374B"/>
    <w:rsid w:val="00677605"/>
    <w:rsid w:val="0068070E"/>
    <w:rsid w:val="00683307"/>
    <w:rsid w:val="0068386B"/>
    <w:rsid w:val="00684424"/>
    <w:rsid w:val="006853ED"/>
    <w:rsid w:val="006908FA"/>
    <w:rsid w:val="00694675"/>
    <w:rsid w:val="006A2C7A"/>
    <w:rsid w:val="006A3871"/>
    <w:rsid w:val="006A480A"/>
    <w:rsid w:val="006A6D6A"/>
    <w:rsid w:val="006B71DD"/>
    <w:rsid w:val="006C0096"/>
    <w:rsid w:val="006C3A0F"/>
    <w:rsid w:val="006C46D9"/>
    <w:rsid w:val="006C47BF"/>
    <w:rsid w:val="006D02E2"/>
    <w:rsid w:val="006D49BF"/>
    <w:rsid w:val="006D7511"/>
    <w:rsid w:val="006E2EC9"/>
    <w:rsid w:val="006F3E03"/>
    <w:rsid w:val="0070238A"/>
    <w:rsid w:val="0070292E"/>
    <w:rsid w:val="00702A0D"/>
    <w:rsid w:val="0070529F"/>
    <w:rsid w:val="007122C4"/>
    <w:rsid w:val="00712E1D"/>
    <w:rsid w:val="00720880"/>
    <w:rsid w:val="00723000"/>
    <w:rsid w:val="0072687D"/>
    <w:rsid w:val="007312A7"/>
    <w:rsid w:val="007319B5"/>
    <w:rsid w:val="00733013"/>
    <w:rsid w:val="00734D47"/>
    <w:rsid w:val="0073653C"/>
    <w:rsid w:val="00742799"/>
    <w:rsid w:val="00747577"/>
    <w:rsid w:val="00750D47"/>
    <w:rsid w:val="00751C75"/>
    <w:rsid w:val="00751EDE"/>
    <w:rsid w:val="007536AC"/>
    <w:rsid w:val="00761A44"/>
    <w:rsid w:val="00770592"/>
    <w:rsid w:val="00770806"/>
    <w:rsid w:val="00770BC5"/>
    <w:rsid w:val="0077106A"/>
    <w:rsid w:val="00774649"/>
    <w:rsid w:val="00776ED1"/>
    <w:rsid w:val="00782086"/>
    <w:rsid w:val="0078675C"/>
    <w:rsid w:val="00787EE2"/>
    <w:rsid w:val="00791C3E"/>
    <w:rsid w:val="007A26AB"/>
    <w:rsid w:val="007A2BC8"/>
    <w:rsid w:val="007A3EDA"/>
    <w:rsid w:val="007A567F"/>
    <w:rsid w:val="007A7276"/>
    <w:rsid w:val="007B1829"/>
    <w:rsid w:val="007C09BF"/>
    <w:rsid w:val="007C13F6"/>
    <w:rsid w:val="007C66CB"/>
    <w:rsid w:val="007D0C39"/>
    <w:rsid w:val="007D3F05"/>
    <w:rsid w:val="007D61F5"/>
    <w:rsid w:val="007F1B78"/>
    <w:rsid w:val="007F3AF5"/>
    <w:rsid w:val="007F5820"/>
    <w:rsid w:val="00800F54"/>
    <w:rsid w:val="0080216B"/>
    <w:rsid w:val="00804B66"/>
    <w:rsid w:val="00810DCD"/>
    <w:rsid w:val="008117A1"/>
    <w:rsid w:val="00813D8E"/>
    <w:rsid w:val="00817B9A"/>
    <w:rsid w:val="00837645"/>
    <w:rsid w:val="00845DA9"/>
    <w:rsid w:val="00847401"/>
    <w:rsid w:val="00854DA6"/>
    <w:rsid w:val="0085529E"/>
    <w:rsid w:val="00865D85"/>
    <w:rsid w:val="008670EF"/>
    <w:rsid w:val="00871E63"/>
    <w:rsid w:val="0088372E"/>
    <w:rsid w:val="00883B46"/>
    <w:rsid w:val="00885777"/>
    <w:rsid w:val="0089790A"/>
    <w:rsid w:val="00897B89"/>
    <w:rsid w:val="008A10EA"/>
    <w:rsid w:val="008A3D7F"/>
    <w:rsid w:val="008A556C"/>
    <w:rsid w:val="008B09AC"/>
    <w:rsid w:val="008B0B09"/>
    <w:rsid w:val="008B2A02"/>
    <w:rsid w:val="008C45D5"/>
    <w:rsid w:val="008D239E"/>
    <w:rsid w:val="008D5CB1"/>
    <w:rsid w:val="008E69C9"/>
    <w:rsid w:val="008F2D74"/>
    <w:rsid w:val="008F4134"/>
    <w:rsid w:val="008F41F0"/>
    <w:rsid w:val="008F58F0"/>
    <w:rsid w:val="008F638D"/>
    <w:rsid w:val="009104FD"/>
    <w:rsid w:val="00912C0D"/>
    <w:rsid w:val="00914E46"/>
    <w:rsid w:val="00915519"/>
    <w:rsid w:val="009157F7"/>
    <w:rsid w:val="00917A5A"/>
    <w:rsid w:val="00924338"/>
    <w:rsid w:val="0092786E"/>
    <w:rsid w:val="00931C4A"/>
    <w:rsid w:val="00932679"/>
    <w:rsid w:val="009403FD"/>
    <w:rsid w:val="0094256E"/>
    <w:rsid w:val="009425BA"/>
    <w:rsid w:val="009437B9"/>
    <w:rsid w:val="0094595F"/>
    <w:rsid w:val="0094678A"/>
    <w:rsid w:val="009508A9"/>
    <w:rsid w:val="00951353"/>
    <w:rsid w:val="0095419A"/>
    <w:rsid w:val="00954FAE"/>
    <w:rsid w:val="00961DD9"/>
    <w:rsid w:val="00961EBF"/>
    <w:rsid w:val="00965210"/>
    <w:rsid w:val="00966355"/>
    <w:rsid w:val="00972844"/>
    <w:rsid w:val="00974266"/>
    <w:rsid w:val="00976BCF"/>
    <w:rsid w:val="00977524"/>
    <w:rsid w:val="009839D0"/>
    <w:rsid w:val="009859E5"/>
    <w:rsid w:val="00990432"/>
    <w:rsid w:val="00991245"/>
    <w:rsid w:val="00996ECD"/>
    <w:rsid w:val="0099746A"/>
    <w:rsid w:val="009A09C4"/>
    <w:rsid w:val="009A0E02"/>
    <w:rsid w:val="009A11A9"/>
    <w:rsid w:val="009A3860"/>
    <w:rsid w:val="009A611D"/>
    <w:rsid w:val="009D1C8C"/>
    <w:rsid w:val="009D2304"/>
    <w:rsid w:val="009D5DE5"/>
    <w:rsid w:val="009D73F8"/>
    <w:rsid w:val="009D7CF9"/>
    <w:rsid w:val="009D7FDF"/>
    <w:rsid w:val="009F28B3"/>
    <w:rsid w:val="009F37BD"/>
    <w:rsid w:val="00A0378F"/>
    <w:rsid w:val="00A10F4A"/>
    <w:rsid w:val="00A124C8"/>
    <w:rsid w:val="00A17C97"/>
    <w:rsid w:val="00A23529"/>
    <w:rsid w:val="00A33CF1"/>
    <w:rsid w:val="00A35C91"/>
    <w:rsid w:val="00A375C7"/>
    <w:rsid w:val="00A45C1A"/>
    <w:rsid w:val="00A46F2D"/>
    <w:rsid w:val="00A47B4C"/>
    <w:rsid w:val="00A50DA5"/>
    <w:rsid w:val="00A57D9A"/>
    <w:rsid w:val="00A6171E"/>
    <w:rsid w:val="00A66F8C"/>
    <w:rsid w:val="00A703C2"/>
    <w:rsid w:val="00A948F3"/>
    <w:rsid w:val="00A94ED9"/>
    <w:rsid w:val="00A95E17"/>
    <w:rsid w:val="00AA1C0C"/>
    <w:rsid w:val="00AB08BE"/>
    <w:rsid w:val="00AB5DAC"/>
    <w:rsid w:val="00AC2B0D"/>
    <w:rsid w:val="00AC2B14"/>
    <w:rsid w:val="00AC64C3"/>
    <w:rsid w:val="00AC7460"/>
    <w:rsid w:val="00AC78E2"/>
    <w:rsid w:val="00AD7857"/>
    <w:rsid w:val="00AD7F5A"/>
    <w:rsid w:val="00AE12B7"/>
    <w:rsid w:val="00AE182F"/>
    <w:rsid w:val="00AE44E3"/>
    <w:rsid w:val="00AE4FD8"/>
    <w:rsid w:val="00AE74B6"/>
    <w:rsid w:val="00AE7A5D"/>
    <w:rsid w:val="00AF2EF4"/>
    <w:rsid w:val="00AF6CE6"/>
    <w:rsid w:val="00B04693"/>
    <w:rsid w:val="00B13D6D"/>
    <w:rsid w:val="00B20F52"/>
    <w:rsid w:val="00B23073"/>
    <w:rsid w:val="00B3230C"/>
    <w:rsid w:val="00B34FC0"/>
    <w:rsid w:val="00B35F1C"/>
    <w:rsid w:val="00B4024F"/>
    <w:rsid w:val="00B40F58"/>
    <w:rsid w:val="00B41FD9"/>
    <w:rsid w:val="00B475E1"/>
    <w:rsid w:val="00B60FB7"/>
    <w:rsid w:val="00B61021"/>
    <w:rsid w:val="00B62DBE"/>
    <w:rsid w:val="00B672FB"/>
    <w:rsid w:val="00B67960"/>
    <w:rsid w:val="00B71656"/>
    <w:rsid w:val="00B76974"/>
    <w:rsid w:val="00B778FF"/>
    <w:rsid w:val="00B82D1B"/>
    <w:rsid w:val="00B9056E"/>
    <w:rsid w:val="00B91E44"/>
    <w:rsid w:val="00B942D5"/>
    <w:rsid w:val="00BA0F3E"/>
    <w:rsid w:val="00BA4911"/>
    <w:rsid w:val="00BA7FC9"/>
    <w:rsid w:val="00BB0F8C"/>
    <w:rsid w:val="00BB12D7"/>
    <w:rsid w:val="00BB399D"/>
    <w:rsid w:val="00BB7E34"/>
    <w:rsid w:val="00BC3BF2"/>
    <w:rsid w:val="00BC46CC"/>
    <w:rsid w:val="00BD5424"/>
    <w:rsid w:val="00BE2B6E"/>
    <w:rsid w:val="00BE6358"/>
    <w:rsid w:val="00BF782F"/>
    <w:rsid w:val="00BF7BD4"/>
    <w:rsid w:val="00C01719"/>
    <w:rsid w:val="00C030FB"/>
    <w:rsid w:val="00C06B4C"/>
    <w:rsid w:val="00C072E8"/>
    <w:rsid w:val="00C1473A"/>
    <w:rsid w:val="00C32EC5"/>
    <w:rsid w:val="00C33A2F"/>
    <w:rsid w:val="00C37AD1"/>
    <w:rsid w:val="00C40F05"/>
    <w:rsid w:val="00C5246A"/>
    <w:rsid w:val="00C55145"/>
    <w:rsid w:val="00C61CBF"/>
    <w:rsid w:val="00C74DF6"/>
    <w:rsid w:val="00C75515"/>
    <w:rsid w:val="00C8362C"/>
    <w:rsid w:val="00C83746"/>
    <w:rsid w:val="00C9502A"/>
    <w:rsid w:val="00C951A6"/>
    <w:rsid w:val="00CA0D5F"/>
    <w:rsid w:val="00CA28FB"/>
    <w:rsid w:val="00CC5CA2"/>
    <w:rsid w:val="00CC6876"/>
    <w:rsid w:val="00CD27C3"/>
    <w:rsid w:val="00CD4D8A"/>
    <w:rsid w:val="00CD5132"/>
    <w:rsid w:val="00CE21B2"/>
    <w:rsid w:val="00CE5C11"/>
    <w:rsid w:val="00CE7215"/>
    <w:rsid w:val="00CE744B"/>
    <w:rsid w:val="00CF0F79"/>
    <w:rsid w:val="00CF245E"/>
    <w:rsid w:val="00CF6438"/>
    <w:rsid w:val="00CF798C"/>
    <w:rsid w:val="00D003A4"/>
    <w:rsid w:val="00D04310"/>
    <w:rsid w:val="00D2018D"/>
    <w:rsid w:val="00D23E56"/>
    <w:rsid w:val="00D26890"/>
    <w:rsid w:val="00D3073D"/>
    <w:rsid w:val="00D320D2"/>
    <w:rsid w:val="00D327EE"/>
    <w:rsid w:val="00D33A44"/>
    <w:rsid w:val="00D34047"/>
    <w:rsid w:val="00D42235"/>
    <w:rsid w:val="00D44DFE"/>
    <w:rsid w:val="00D4597A"/>
    <w:rsid w:val="00D4717D"/>
    <w:rsid w:val="00D50D98"/>
    <w:rsid w:val="00D568CB"/>
    <w:rsid w:val="00D56D9B"/>
    <w:rsid w:val="00D56DD3"/>
    <w:rsid w:val="00D5700E"/>
    <w:rsid w:val="00D720C0"/>
    <w:rsid w:val="00D73C5E"/>
    <w:rsid w:val="00D75963"/>
    <w:rsid w:val="00D75A81"/>
    <w:rsid w:val="00D76AB2"/>
    <w:rsid w:val="00D84225"/>
    <w:rsid w:val="00D84AA2"/>
    <w:rsid w:val="00DA5997"/>
    <w:rsid w:val="00DA7AC5"/>
    <w:rsid w:val="00DB4B16"/>
    <w:rsid w:val="00DC027F"/>
    <w:rsid w:val="00DC25B4"/>
    <w:rsid w:val="00DC4140"/>
    <w:rsid w:val="00DC4DD9"/>
    <w:rsid w:val="00DD0954"/>
    <w:rsid w:val="00DD30C5"/>
    <w:rsid w:val="00DD47E1"/>
    <w:rsid w:val="00DD5FC1"/>
    <w:rsid w:val="00DD62FA"/>
    <w:rsid w:val="00DD63CE"/>
    <w:rsid w:val="00DD7CD8"/>
    <w:rsid w:val="00DE390C"/>
    <w:rsid w:val="00DF54F5"/>
    <w:rsid w:val="00DF6368"/>
    <w:rsid w:val="00DF75D2"/>
    <w:rsid w:val="00E000CE"/>
    <w:rsid w:val="00E03EFC"/>
    <w:rsid w:val="00E07717"/>
    <w:rsid w:val="00E12B1D"/>
    <w:rsid w:val="00E1456A"/>
    <w:rsid w:val="00E148BE"/>
    <w:rsid w:val="00E14A75"/>
    <w:rsid w:val="00E239D2"/>
    <w:rsid w:val="00E23BBC"/>
    <w:rsid w:val="00E25DD7"/>
    <w:rsid w:val="00E271D4"/>
    <w:rsid w:val="00E317B6"/>
    <w:rsid w:val="00E325E7"/>
    <w:rsid w:val="00E3357D"/>
    <w:rsid w:val="00E34291"/>
    <w:rsid w:val="00E407B4"/>
    <w:rsid w:val="00E41C5D"/>
    <w:rsid w:val="00E42123"/>
    <w:rsid w:val="00E43549"/>
    <w:rsid w:val="00E5027A"/>
    <w:rsid w:val="00E5055A"/>
    <w:rsid w:val="00E509B2"/>
    <w:rsid w:val="00E520DA"/>
    <w:rsid w:val="00E5743E"/>
    <w:rsid w:val="00E62049"/>
    <w:rsid w:val="00E65421"/>
    <w:rsid w:val="00E7163A"/>
    <w:rsid w:val="00E72163"/>
    <w:rsid w:val="00E72E9B"/>
    <w:rsid w:val="00E73958"/>
    <w:rsid w:val="00E86959"/>
    <w:rsid w:val="00E87B35"/>
    <w:rsid w:val="00E93977"/>
    <w:rsid w:val="00EA0DD0"/>
    <w:rsid w:val="00EA751C"/>
    <w:rsid w:val="00EB5788"/>
    <w:rsid w:val="00EB6766"/>
    <w:rsid w:val="00EC2574"/>
    <w:rsid w:val="00ED3D93"/>
    <w:rsid w:val="00EE3A46"/>
    <w:rsid w:val="00EF0ADB"/>
    <w:rsid w:val="00EF6D1B"/>
    <w:rsid w:val="00F01139"/>
    <w:rsid w:val="00F04ADE"/>
    <w:rsid w:val="00F16367"/>
    <w:rsid w:val="00F1656C"/>
    <w:rsid w:val="00F221DD"/>
    <w:rsid w:val="00F24D5D"/>
    <w:rsid w:val="00F314F8"/>
    <w:rsid w:val="00F3195E"/>
    <w:rsid w:val="00F401F9"/>
    <w:rsid w:val="00F40CA4"/>
    <w:rsid w:val="00F412CE"/>
    <w:rsid w:val="00F41DD1"/>
    <w:rsid w:val="00F43BEE"/>
    <w:rsid w:val="00F56907"/>
    <w:rsid w:val="00F65CEF"/>
    <w:rsid w:val="00F67735"/>
    <w:rsid w:val="00F73EE1"/>
    <w:rsid w:val="00F77D6B"/>
    <w:rsid w:val="00F77E93"/>
    <w:rsid w:val="00F80DC5"/>
    <w:rsid w:val="00F81293"/>
    <w:rsid w:val="00F82F39"/>
    <w:rsid w:val="00F83E0F"/>
    <w:rsid w:val="00F86CEF"/>
    <w:rsid w:val="00F87F95"/>
    <w:rsid w:val="00F97738"/>
    <w:rsid w:val="00FA3587"/>
    <w:rsid w:val="00FA4F3B"/>
    <w:rsid w:val="00FB23A6"/>
    <w:rsid w:val="00FB26F4"/>
    <w:rsid w:val="00FB4124"/>
    <w:rsid w:val="00FB4233"/>
    <w:rsid w:val="00FB425E"/>
    <w:rsid w:val="00FB44BD"/>
    <w:rsid w:val="00FB7363"/>
    <w:rsid w:val="00FC080F"/>
    <w:rsid w:val="00FC10C6"/>
    <w:rsid w:val="00FC3FF6"/>
    <w:rsid w:val="00FC536A"/>
    <w:rsid w:val="00FE7847"/>
    <w:rsid w:val="00FF0C77"/>
    <w:rsid w:val="00FF1258"/>
    <w:rsid w:val="00FF411D"/>
    <w:rsid w:val="00FF5F00"/>
    <w:rsid w:val="00FF64EC"/>
    <w:rsid w:val="00FF66B1"/>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98EC8"/>
  <w14:defaultImageDpi w14:val="96"/>
  <w15:docId w15:val="{30F5BE92-EB47-4D4F-9C7F-3CB0EC07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qFormat/>
    <w:rPr>
      <w:rFonts w:ascii="Lucida Console" w:hAnsi="Lucida Console" w:cs="Lucida Console"/>
      <w:sz w:val="24"/>
      <w:szCs w:val="24"/>
    </w:rPr>
  </w:style>
  <w:style w:type="paragraph" w:styleId="Heading1">
    <w:name w:val="heading 1"/>
    <w:basedOn w:val="Normal"/>
    <w:next w:val="Normal"/>
    <w:link w:val="Heading1Char"/>
    <w:uiPriority w:val="9"/>
    <w:qFormat/>
    <w:rsid w:val="00B35F1C"/>
    <w:pPr>
      <w:jc w:val="center"/>
      <w:outlineLvl w:val="0"/>
    </w:pPr>
    <w:rPr>
      <w:rFonts w:ascii="Arial" w:hAnsi="Arial" w:cs="Arial"/>
      <w:b/>
      <w:sz w:val="32"/>
    </w:rPr>
  </w:style>
  <w:style w:type="paragraph" w:styleId="Heading2">
    <w:name w:val="heading 2"/>
    <w:basedOn w:val="Normal"/>
    <w:next w:val="Normal"/>
    <w:link w:val="Heading2Char"/>
    <w:uiPriority w:val="9"/>
    <w:unhideWhenUsed/>
    <w:qFormat/>
    <w:rsid w:val="00B35F1C"/>
    <w:pPr>
      <w:jc w:val="center"/>
      <w:outlineLvl w:val="1"/>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723"/>
    </w:pPr>
    <w:rPr>
      <w:rFonts w:ascii="Lucida Console" w:hAnsi="Lucida Console" w:cs="Lucida Console"/>
      <w:sz w:val="24"/>
      <w:szCs w:val="24"/>
    </w:rPr>
  </w:style>
  <w:style w:type="paragraph" w:customStyle="1" w:styleId="Question">
    <w:name w:val="Question"/>
    <w:basedOn w:val="Fixed"/>
    <w:next w:val="Fixed"/>
    <w:uiPriority w:val="99"/>
    <w:pPr>
      <w:ind w:right="6147"/>
    </w:pPr>
  </w:style>
  <w:style w:type="paragraph" w:customStyle="1" w:styleId="Answer">
    <w:name w:val="Answer"/>
    <w:basedOn w:val="Fixed"/>
    <w:next w:val="Fixed"/>
    <w:uiPriority w:val="99"/>
    <w:pPr>
      <w:ind w:right="6147"/>
    </w:pPr>
  </w:style>
  <w:style w:type="paragraph" w:customStyle="1" w:styleId="Colloquy">
    <w:name w:val="Colloquy"/>
    <w:basedOn w:val="Fixed"/>
    <w:next w:val="Fixed"/>
    <w:uiPriority w:val="99"/>
    <w:pPr>
      <w:ind w:right="6147"/>
    </w:pPr>
  </w:style>
  <w:style w:type="paragraph" w:customStyle="1" w:styleId="Left1">
    <w:name w:val="Left 1"/>
    <w:basedOn w:val="Fixed"/>
    <w:next w:val="Fixed"/>
    <w:uiPriority w:val="99"/>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right="6147"/>
      <w:jc w:val="center"/>
    </w:pPr>
  </w:style>
  <w:style w:type="paragraph" w:customStyle="1" w:styleId="Right1">
    <w:name w:val="Right 1"/>
    <w:basedOn w:val="Fixed"/>
    <w:next w:val="Fixed"/>
    <w:uiPriority w:val="99"/>
    <w:pPr>
      <w:ind w:left="576" w:right="6147"/>
    </w:pPr>
  </w:style>
  <w:style w:type="paragraph" w:customStyle="1" w:styleId="Right2">
    <w:name w:val="Right 2"/>
    <w:basedOn w:val="Fixed"/>
    <w:next w:val="Fixed"/>
    <w:uiPriority w:val="99"/>
    <w:pPr>
      <w:ind w:left="1152" w:right="6147"/>
    </w:pPr>
  </w:style>
  <w:style w:type="paragraph" w:customStyle="1" w:styleId="Right3">
    <w:name w:val="Right 3"/>
    <w:basedOn w:val="Fixed"/>
    <w:next w:val="Fixed"/>
    <w:uiPriority w:val="99"/>
    <w:pPr>
      <w:ind w:left="1728" w:right="6147"/>
    </w:pPr>
  </w:style>
  <w:style w:type="paragraph" w:customStyle="1" w:styleId="0Style">
    <w:name w:val="0 Style"/>
    <w:basedOn w:val="Fixed"/>
    <w:next w:val="Fixed"/>
    <w:uiPriority w:val="99"/>
    <w:pPr>
      <w:ind w:right="6147"/>
    </w:pPr>
  </w:style>
  <w:style w:type="paragraph" w:customStyle="1" w:styleId="Normal1">
    <w:name w:val="Normal 1"/>
    <w:basedOn w:val="Fixed"/>
    <w:next w:val="Fixed"/>
    <w:uiPriority w:val="99"/>
    <w:pPr>
      <w:ind w:right="6147"/>
    </w:pPr>
  </w:style>
  <w:style w:type="paragraph" w:customStyle="1" w:styleId="Normal2">
    <w:name w:val="Normal 2"/>
    <w:basedOn w:val="Fixed"/>
    <w:next w:val="Fixed"/>
    <w:uiPriority w:val="99"/>
    <w:pPr>
      <w:ind w:right="6147"/>
    </w:pPr>
  </w:style>
  <w:style w:type="paragraph" w:customStyle="1" w:styleId="Normal3">
    <w:name w:val="Normal 3"/>
    <w:basedOn w:val="Fixed"/>
    <w:next w:val="Fixed"/>
    <w:uiPriority w:val="99"/>
    <w:pPr>
      <w:ind w:right="6147"/>
    </w:pPr>
  </w:style>
  <w:style w:type="paragraph" w:customStyle="1" w:styleId="Normal4">
    <w:name w:val="Normal 4"/>
    <w:basedOn w:val="Fixed"/>
    <w:next w:val="Fixed"/>
    <w:uiPriority w:val="99"/>
    <w:pPr>
      <w:ind w:right="6147"/>
    </w:pPr>
  </w:style>
  <w:style w:type="paragraph" w:customStyle="1" w:styleId="Normal5">
    <w:name w:val="Normal 5"/>
    <w:basedOn w:val="Fixed"/>
    <w:next w:val="Fixed"/>
    <w:uiPriority w:val="99"/>
    <w:pPr>
      <w:ind w:right="6147"/>
    </w:pPr>
  </w:style>
  <w:style w:type="paragraph" w:customStyle="1" w:styleId="Normal6">
    <w:name w:val="Normal 6"/>
    <w:basedOn w:val="Fixed"/>
    <w:next w:val="Fixed"/>
    <w:uiPriority w:val="99"/>
    <w:pPr>
      <w:ind w:right="6147"/>
    </w:pPr>
  </w:style>
  <w:style w:type="paragraph" w:customStyle="1" w:styleId="Normal7">
    <w:name w:val="Normal 7"/>
    <w:basedOn w:val="Fixed"/>
    <w:next w:val="Fixed"/>
    <w:uiPriority w:val="99"/>
    <w:pPr>
      <w:ind w:right="6147"/>
    </w:pPr>
  </w:style>
  <w:style w:type="paragraph" w:customStyle="1" w:styleId="Normal8">
    <w:name w:val="Normal 8"/>
    <w:basedOn w:val="Fixed"/>
    <w:next w:val="Fixed"/>
    <w:uiPriority w:val="99"/>
    <w:pPr>
      <w:ind w:right="6147"/>
    </w:pPr>
  </w:style>
  <w:style w:type="paragraph" w:customStyle="1" w:styleId="9Style">
    <w:name w:val="9 Style"/>
    <w:basedOn w:val="Fixed"/>
    <w:next w:val="Fixed"/>
    <w:uiPriority w:val="99"/>
    <w:pPr>
      <w:ind w:right="6147"/>
    </w:pPr>
  </w:style>
  <w:style w:type="paragraph" w:styleId="Header">
    <w:name w:val="header"/>
    <w:basedOn w:val="Fixed"/>
    <w:next w:val="Fixed"/>
    <w:link w:val="HeaderChar"/>
    <w:uiPriority w:val="99"/>
    <w:pPr>
      <w:ind w:right="6147"/>
    </w:pPr>
  </w:style>
  <w:style w:type="character" w:customStyle="1" w:styleId="HeaderChar">
    <w:name w:val="Header Char"/>
    <w:basedOn w:val="DefaultParagraphFont"/>
    <w:link w:val="Header"/>
    <w:uiPriority w:val="99"/>
    <w:semiHidden/>
    <w:locked/>
    <w:rPr>
      <w:rFonts w:ascii="Lucida Console" w:hAnsi="Lucida Console" w:cs="Lucida Console"/>
      <w:sz w:val="24"/>
      <w:szCs w:val="24"/>
    </w:rPr>
  </w:style>
  <w:style w:type="paragraph" w:styleId="Footer">
    <w:name w:val="footer"/>
    <w:basedOn w:val="Fixed"/>
    <w:next w:val="Fixed"/>
    <w:link w:val="FooterChar"/>
    <w:uiPriority w:val="99"/>
    <w:pPr>
      <w:ind w:right="6147"/>
    </w:pPr>
  </w:style>
  <w:style w:type="character" w:customStyle="1" w:styleId="FooterChar">
    <w:name w:val="Footer Char"/>
    <w:basedOn w:val="DefaultParagraphFont"/>
    <w:link w:val="Footer"/>
    <w:uiPriority w:val="99"/>
    <w:locked/>
    <w:rPr>
      <w:rFonts w:ascii="Lucida Console" w:hAnsi="Lucida Console" w:cs="Lucida Console"/>
      <w:sz w:val="24"/>
      <w:szCs w:val="24"/>
    </w:rPr>
  </w:style>
  <w:style w:type="character" w:customStyle="1" w:styleId="Heading1Char">
    <w:name w:val="Heading 1 Char"/>
    <w:basedOn w:val="DefaultParagraphFont"/>
    <w:link w:val="Heading1"/>
    <w:uiPriority w:val="9"/>
    <w:rsid w:val="00B35F1C"/>
    <w:rPr>
      <w:rFonts w:ascii="Arial" w:hAnsi="Arial" w:cs="Arial"/>
      <w:b/>
      <w:sz w:val="32"/>
      <w:szCs w:val="24"/>
    </w:rPr>
  </w:style>
  <w:style w:type="character" w:customStyle="1" w:styleId="Heading2Char">
    <w:name w:val="Heading 2 Char"/>
    <w:basedOn w:val="DefaultParagraphFont"/>
    <w:link w:val="Heading2"/>
    <w:uiPriority w:val="9"/>
    <w:rsid w:val="00B35F1C"/>
    <w:rPr>
      <w:rFonts w:ascii="Arial" w:hAnsi="Arial" w:cs="Arial"/>
      <w:b/>
      <w:sz w:val="28"/>
      <w:szCs w:val="24"/>
    </w:rPr>
  </w:style>
  <w:style w:type="paragraph" w:styleId="BalloonText">
    <w:name w:val="Balloon Text"/>
    <w:basedOn w:val="Normal"/>
    <w:link w:val="BalloonTextChar"/>
    <w:uiPriority w:val="99"/>
    <w:semiHidden/>
    <w:unhideWhenUsed/>
    <w:rsid w:val="00E654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21"/>
    <w:rPr>
      <w:rFonts w:ascii="Segoe UI" w:hAnsi="Segoe UI" w:cs="Segoe UI"/>
      <w:sz w:val="18"/>
      <w:szCs w:val="18"/>
    </w:rPr>
  </w:style>
  <w:style w:type="paragraph" w:styleId="NormalWeb">
    <w:name w:val="Normal (Web)"/>
    <w:basedOn w:val="Normal"/>
    <w:uiPriority w:val="99"/>
    <w:unhideWhenUsed/>
    <w:rsid w:val="002775E2"/>
    <w:rPr>
      <w:rFonts w:ascii="Times New Roman" w:hAnsi="Times New Roman" w:cs="Times New Roman"/>
    </w:rPr>
  </w:style>
  <w:style w:type="paragraph" w:styleId="ListParagraph">
    <w:name w:val="List Paragraph"/>
    <w:basedOn w:val="Normal"/>
    <w:uiPriority w:val="34"/>
    <w:qFormat/>
    <w:rsid w:val="002775E2"/>
    <w:pPr>
      <w:ind w:left="720"/>
      <w:contextualSpacing/>
    </w:pPr>
  </w:style>
  <w:style w:type="character" w:styleId="Hyperlink">
    <w:name w:val="Hyperlink"/>
    <w:basedOn w:val="DefaultParagraphFont"/>
    <w:uiPriority w:val="99"/>
    <w:unhideWhenUsed/>
    <w:rsid w:val="002775E2"/>
    <w:rPr>
      <w:color w:val="0563C1" w:themeColor="hyperlink"/>
      <w:u w:val="single"/>
    </w:rPr>
  </w:style>
  <w:style w:type="character" w:customStyle="1" w:styleId="UnresolvedMention1">
    <w:name w:val="Unresolved Mention1"/>
    <w:basedOn w:val="DefaultParagraphFont"/>
    <w:uiPriority w:val="99"/>
    <w:semiHidden/>
    <w:unhideWhenUsed/>
    <w:rsid w:val="002775E2"/>
    <w:rPr>
      <w:color w:val="605E5C"/>
      <w:shd w:val="clear" w:color="auto" w:fill="E1DFDD"/>
    </w:rPr>
  </w:style>
  <w:style w:type="character" w:customStyle="1" w:styleId="UnresolvedMention2">
    <w:name w:val="Unresolved Mention2"/>
    <w:basedOn w:val="DefaultParagraphFont"/>
    <w:uiPriority w:val="99"/>
    <w:semiHidden/>
    <w:unhideWhenUsed/>
    <w:rsid w:val="00440395"/>
    <w:rPr>
      <w:color w:val="605E5C"/>
      <w:shd w:val="clear" w:color="auto" w:fill="E1DFDD"/>
    </w:rPr>
  </w:style>
  <w:style w:type="character" w:customStyle="1" w:styleId="UnresolvedMention3">
    <w:name w:val="Unresolved Mention3"/>
    <w:basedOn w:val="DefaultParagraphFont"/>
    <w:uiPriority w:val="99"/>
    <w:semiHidden/>
    <w:unhideWhenUsed/>
    <w:rsid w:val="0036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029">
      <w:bodyDiv w:val="1"/>
      <w:marLeft w:val="0"/>
      <w:marRight w:val="0"/>
      <w:marTop w:val="0"/>
      <w:marBottom w:val="0"/>
      <w:divBdr>
        <w:top w:val="none" w:sz="0" w:space="0" w:color="auto"/>
        <w:left w:val="none" w:sz="0" w:space="0" w:color="auto"/>
        <w:bottom w:val="none" w:sz="0" w:space="0" w:color="auto"/>
        <w:right w:val="none" w:sz="0" w:space="0" w:color="auto"/>
      </w:divBdr>
    </w:div>
    <w:div w:id="55594140">
      <w:bodyDiv w:val="1"/>
      <w:marLeft w:val="0"/>
      <w:marRight w:val="0"/>
      <w:marTop w:val="0"/>
      <w:marBottom w:val="0"/>
      <w:divBdr>
        <w:top w:val="none" w:sz="0" w:space="0" w:color="auto"/>
        <w:left w:val="none" w:sz="0" w:space="0" w:color="auto"/>
        <w:bottom w:val="none" w:sz="0" w:space="0" w:color="auto"/>
        <w:right w:val="none" w:sz="0" w:space="0" w:color="auto"/>
      </w:divBdr>
    </w:div>
    <w:div w:id="63139809">
      <w:bodyDiv w:val="1"/>
      <w:marLeft w:val="0"/>
      <w:marRight w:val="0"/>
      <w:marTop w:val="0"/>
      <w:marBottom w:val="0"/>
      <w:divBdr>
        <w:top w:val="none" w:sz="0" w:space="0" w:color="auto"/>
        <w:left w:val="none" w:sz="0" w:space="0" w:color="auto"/>
        <w:bottom w:val="none" w:sz="0" w:space="0" w:color="auto"/>
        <w:right w:val="none" w:sz="0" w:space="0" w:color="auto"/>
      </w:divBdr>
    </w:div>
    <w:div w:id="89356319">
      <w:bodyDiv w:val="1"/>
      <w:marLeft w:val="0"/>
      <w:marRight w:val="0"/>
      <w:marTop w:val="0"/>
      <w:marBottom w:val="0"/>
      <w:divBdr>
        <w:top w:val="none" w:sz="0" w:space="0" w:color="auto"/>
        <w:left w:val="none" w:sz="0" w:space="0" w:color="auto"/>
        <w:bottom w:val="none" w:sz="0" w:space="0" w:color="auto"/>
        <w:right w:val="none" w:sz="0" w:space="0" w:color="auto"/>
      </w:divBdr>
    </w:div>
    <w:div w:id="138346786">
      <w:bodyDiv w:val="1"/>
      <w:marLeft w:val="0"/>
      <w:marRight w:val="0"/>
      <w:marTop w:val="0"/>
      <w:marBottom w:val="0"/>
      <w:divBdr>
        <w:top w:val="none" w:sz="0" w:space="0" w:color="auto"/>
        <w:left w:val="none" w:sz="0" w:space="0" w:color="auto"/>
        <w:bottom w:val="none" w:sz="0" w:space="0" w:color="auto"/>
        <w:right w:val="none" w:sz="0" w:space="0" w:color="auto"/>
      </w:divBdr>
    </w:div>
    <w:div w:id="177892202">
      <w:bodyDiv w:val="1"/>
      <w:marLeft w:val="0"/>
      <w:marRight w:val="0"/>
      <w:marTop w:val="0"/>
      <w:marBottom w:val="0"/>
      <w:divBdr>
        <w:top w:val="none" w:sz="0" w:space="0" w:color="auto"/>
        <w:left w:val="none" w:sz="0" w:space="0" w:color="auto"/>
        <w:bottom w:val="none" w:sz="0" w:space="0" w:color="auto"/>
        <w:right w:val="none" w:sz="0" w:space="0" w:color="auto"/>
      </w:divBdr>
      <w:divsChild>
        <w:div w:id="1622999372">
          <w:marLeft w:val="360"/>
          <w:marRight w:val="0"/>
          <w:marTop w:val="0"/>
          <w:marBottom w:val="0"/>
          <w:divBdr>
            <w:top w:val="none" w:sz="0" w:space="0" w:color="auto"/>
            <w:left w:val="none" w:sz="0" w:space="0" w:color="auto"/>
            <w:bottom w:val="none" w:sz="0" w:space="0" w:color="auto"/>
            <w:right w:val="none" w:sz="0" w:space="0" w:color="auto"/>
          </w:divBdr>
        </w:div>
        <w:div w:id="2001885911">
          <w:marLeft w:val="360"/>
          <w:marRight w:val="0"/>
          <w:marTop w:val="0"/>
          <w:marBottom w:val="0"/>
          <w:divBdr>
            <w:top w:val="none" w:sz="0" w:space="0" w:color="auto"/>
            <w:left w:val="none" w:sz="0" w:space="0" w:color="auto"/>
            <w:bottom w:val="none" w:sz="0" w:space="0" w:color="auto"/>
            <w:right w:val="none" w:sz="0" w:space="0" w:color="auto"/>
          </w:divBdr>
        </w:div>
        <w:div w:id="154802441">
          <w:marLeft w:val="360"/>
          <w:marRight w:val="0"/>
          <w:marTop w:val="0"/>
          <w:marBottom w:val="0"/>
          <w:divBdr>
            <w:top w:val="none" w:sz="0" w:space="0" w:color="auto"/>
            <w:left w:val="none" w:sz="0" w:space="0" w:color="auto"/>
            <w:bottom w:val="none" w:sz="0" w:space="0" w:color="auto"/>
            <w:right w:val="none" w:sz="0" w:space="0" w:color="auto"/>
          </w:divBdr>
        </w:div>
      </w:divsChild>
    </w:div>
    <w:div w:id="221061344">
      <w:bodyDiv w:val="1"/>
      <w:marLeft w:val="0"/>
      <w:marRight w:val="0"/>
      <w:marTop w:val="0"/>
      <w:marBottom w:val="0"/>
      <w:divBdr>
        <w:top w:val="none" w:sz="0" w:space="0" w:color="auto"/>
        <w:left w:val="none" w:sz="0" w:space="0" w:color="auto"/>
        <w:bottom w:val="none" w:sz="0" w:space="0" w:color="auto"/>
        <w:right w:val="none" w:sz="0" w:space="0" w:color="auto"/>
      </w:divBdr>
    </w:div>
    <w:div w:id="224806245">
      <w:bodyDiv w:val="1"/>
      <w:marLeft w:val="0"/>
      <w:marRight w:val="0"/>
      <w:marTop w:val="0"/>
      <w:marBottom w:val="0"/>
      <w:divBdr>
        <w:top w:val="none" w:sz="0" w:space="0" w:color="auto"/>
        <w:left w:val="none" w:sz="0" w:space="0" w:color="auto"/>
        <w:bottom w:val="none" w:sz="0" w:space="0" w:color="auto"/>
        <w:right w:val="none" w:sz="0" w:space="0" w:color="auto"/>
      </w:divBdr>
    </w:div>
    <w:div w:id="253513573">
      <w:bodyDiv w:val="1"/>
      <w:marLeft w:val="0"/>
      <w:marRight w:val="0"/>
      <w:marTop w:val="0"/>
      <w:marBottom w:val="0"/>
      <w:divBdr>
        <w:top w:val="none" w:sz="0" w:space="0" w:color="auto"/>
        <w:left w:val="none" w:sz="0" w:space="0" w:color="auto"/>
        <w:bottom w:val="none" w:sz="0" w:space="0" w:color="auto"/>
        <w:right w:val="none" w:sz="0" w:space="0" w:color="auto"/>
      </w:divBdr>
    </w:div>
    <w:div w:id="268048183">
      <w:bodyDiv w:val="1"/>
      <w:marLeft w:val="0"/>
      <w:marRight w:val="0"/>
      <w:marTop w:val="0"/>
      <w:marBottom w:val="0"/>
      <w:divBdr>
        <w:top w:val="none" w:sz="0" w:space="0" w:color="auto"/>
        <w:left w:val="none" w:sz="0" w:space="0" w:color="auto"/>
        <w:bottom w:val="none" w:sz="0" w:space="0" w:color="auto"/>
        <w:right w:val="none" w:sz="0" w:space="0" w:color="auto"/>
      </w:divBdr>
    </w:div>
    <w:div w:id="293828387">
      <w:bodyDiv w:val="1"/>
      <w:marLeft w:val="0"/>
      <w:marRight w:val="0"/>
      <w:marTop w:val="0"/>
      <w:marBottom w:val="0"/>
      <w:divBdr>
        <w:top w:val="none" w:sz="0" w:space="0" w:color="auto"/>
        <w:left w:val="none" w:sz="0" w:space="0" w:color="auto"/>
        <w:bottom w:val="none" w:sz="0" w:space="0" w:color="auto"/>
        <w:right w:val="none" w:sz="0" w:space="0" w:color="auto"/>
      </w:divBdr>
    </w:div>
    <w:div w:id="300771128">
      <w:bodyDiv w:val="1"/>
      <w:marLeft w:val="0"/>
      <w:marRight w:val="0"/>
      <w:marTop w:val="0"/>
      <w:marBottom w:val="0"/>
      <w:divBdr>
        <w:top w:val="none" w:sz="0" w:space="0" w:color="auto"/>
        <w:left w:val="none" w:sz="0" w:space="0" w:color="auto"/>
        <w:bottom w:val="none" w:sz="0" w:space="0" w:color="auto"/>
        <w:right w:val="none" w:sz="0" w:space="0" w:color="auto"/>
      </w:divBdr>
    </w:div>
    <w:div w:id="340621334">
      <w:bodyDiv w:val="1"/>
      <w:marLeft w:val="0"/>
      <w:marRight w:val="0"/>
      <w:marTop w:val="0"/>
      <w:marBottom w:val="0"/>
      <w:divBdr>
        <w:top w:val="none" w:sz="0" w:space="0" w:color="auto"/>
        <w:left w:val="none" w:sz="0" w:space="0" w:color="auto"/>
        <w:bottom w:val="none" w:sz="0" w:space="0" w:color="auto"/>
        <w:right w:val="none" w:sz="0" w:space="0" w:color="auto"/>
      </w:divBdr>
    </w:div>
    <w:div w:id="342779981">
      <w:bodyDiv w:val="1"/>
      <w:marLeft w:val="0"/>
      <w:marRight w:val="0"/>
      <w:marTop w:val="0"/>
      <w:marBottom w:val="0"/>
      <w:divBdr>
        <w:top w:val="none" w:sz="0" w:space="0" w:color="auto"/>
        <w:left w:val="none" w:sz="0" w:space="0" w:color="auto"/>
        <w:bottom w:val="none" w:sz="0" w:space="0" w:color="auto"/>
        <w:right w:val="none" w:sz="0" w:space="0" w:color="auto"/>
      </w:divBdr>
    </w:div>
    <w:div w:id="356201048">
      <w:bodyDiv w:val="1"/>
      <w:marLeft w:val="0"/>
      <w:marRight w:val="0"/>
      <w:marTop w:val="0"/>
      <w:marBottom w:val="0"/>
      <w:divBdr>
        <w:top w:val="none" w:sz="0" w:space="0" w:color="auto"/>
        <w:left w:val="none" w:sz="0" w:space="0" w:color="auto"/>
        <w:bottom w:val="none" w:sz="0" w:space="0" w:color="auto"/>
        <w:right w:val="none" w:sz="0" w:space="0" w:color="auto"/>
      </w:divBdr>
    </w:div>
    <w:div w:id="360514185">
      <w:bodyDiv w:val="1"/>
      <w:marLeft w:val="0"/>
      <w:marRight w:val="0"/>
      <w:marTop w:val="0"/>
      <w:marBottom w:val="0"/>
      <w:divBdr>
        <w:top w:val="none" w:sz="0" w:space="0" w:color="auto"/>
        <w:left w:val="none" w:sz="0" w:space="0" w:color="auto"/>
        <w:bottom w:val="none" w:sz="0" w:space="0" w:color="auto"/>
        <w:right w:val="none" w:sz="0" w:space="0" w:color="auto"/>
      </w:divBdr>
    </w:div>
    <w:div w:id="362441650">
      <w:bodyDiv w:val="1"/>
      <w:marLeft w:val="0"/>
      <w:marRight w:val="0"/>
      <w:marTop w:val="0"/>
      <w:marBottom w:val="0"/>
      <w:divBdr>
        <w:top w:val="none" w:sz="0" w:space="0" w:color="auto"/>
        <w:left w:val="none" w:sz="0" w:space="0" w:color="auto"/>
        <w:bottom w:val="none" w:sz="0" w:space="0" w:color="auto"/>
        <w:right w:val="none" w:sz="0" w:space="0" w:color="auto"/>
      </w:divBdr>
      <w:divsChild>
        <w:div w:id="1413547080">
          <w:marLeft w:val="749"/>
          <w:marRight w:val="0"/>
          <w:marTop w:val="0"/>
          <w:marBottom w:val="0"/>
          <w:divBdr>
            <w:top w:val="none" w:sz="0" w:space="0" w:color="auto"/>
            <w:left w:val="none" w:sz="0" w:space="0" w:color="auto"/>
            <w:bottom w:val="none" w:sz="0" w:space="0" w:color="auto"/>
            <w:right w:val="none" w:sz="0" w:space="0" w:color="auto"/>
          </w:divBdr>
        </w:div>
        <w:div w:id="977145830">
          <w:marLeft w:val="749"/>
          <w:marRight w:val="0"/>
          <w:marTop w:val="0"/>
          <w:marBottom w:val="0"/>
          <w:divBdr>
            <w:top w:val="none" w:sz="0" w:space="0" w:color="auto"/>
            <w:left w:val="none" w:sz="0" w:space="0" w:color="auto"/>
            <w:bottom w:val="none" w:sz="0" w:space="0" w:color="auto"/>
            <w:right w:val="none" w:sz="0" w:space="0" w:color="auto"/>
          </w:divBdr>
        </w:div>
        <w:div w:id="678194990">
          <w:marLeft w:val="749"/>
          <w:marRight w:val="0"/>
          <w:marTop w:val="0"/>
          <w:marBottom w:val="0"/>
          <w:divBdr>
            <w:top w:val="none" w:sz="0" w:space="0" w:color="auto"/>
            <w:left w:val="none" w:sz="0" w:space="0" w:color="auto"/>
            <w:bottom w:val="none" w:sz="0" w:space="0" w:color="auto"/>
            <w:right w:val="none" w:sz="0" w:space="0" w:color="auto"/>
          </w:divBdr>
        </w:div>
        <w:div w:id="1092237333">
          <w:marLeft w:val="749"/>
          <w:marRight w:val="0"/>
          <w:marTop w:val="0"/>
          <w:marBottom w:val="0"/>
          <w:divBdr>
            <w:top w:val="none" w:sz="0" w:space="0" w:color="auto"/>
            <w:left w:val="none" w:sz="0" w:space="0" w:color="auto"/>
            <w:bottom w:val="none" w:sz="0" w:space="0" w:color="auto"/>
            <w:right w:val="none" w:sz="0" w:space="0" w:color="auto"/>
          </w:divBdr>
        </w:div>
        <w:div w:id="1957060495">
          <w:marLeft w:val="749"/>
          <w:marRight w:val="0"/>
          <w:marTop w:val="0"/>
          <w:marBottom w:val="0"/>
          <w:divBdr>
            <w:top w:val="none" w:sz="0" w:space="0" w:color="auto"/>
            <w:left w:val="none" w:sz="0" w:space="0" w:color="auto"/>
            <w:bottom w:val="none" w:sz="0" w:space="0" w:color="auto"/>
            <w:right w:val="none" w:sz="0" w:space="0" w:color="auto"/>
          </w:divBdr>
        </w:div>
      </w:divsChild>
    </w:div>
    <w:div w:id="364871527">
      <w:bodyDiv w:val="1"/>
      <w:marLeft w:val="0"/>
      <w:marRight w:val="0"/>
      <w:marTop w:val="0"/>
      <w:marBottom w:val="0"/>
      <w:divBdr>
        <w:top w:val="none" w:sz="0" w:space="0" w:color="auto"/>
        <w:left w:val="none" w:sz="0" w:space="0" w:color="auto"/>
        <w:bottom w:val="none" w:sz="0" w:space="0" w:color="auto"/>
        <w:right w:val="none" w:sz="0" w:space="0" w:color="auto"/>
      </w:divBdr>
      <w:divsChild>
        <w:div w:id="608859642">
          <w:marLeft w:val="547"/>
          <w:marRight w:val="0"/>
          <w:marTop w:val="0"/>
          <w:marBottom w:val="0"/>
          <w:divBdr>
            <w:top w:val="none" w:sz="0" w:space="0" w:color="auto"/>
            <w:left w:val="none" w:sz="0" w:space="0" w:color="auto"/>
            <w:bottom w:val="none" w:sz="0" w:space="0" w:color="auto"/>
            <w:right w:val="none" w:sz="0" w:space="0" w:color="auto"/>
          </w:divBdr>
        </w:div>
        <w:div w:id="1485581979">
          <w:marLeft w:val="547"/>
          <w:marRight w:val="0"/>
          <w:marTop w:val="0"/>
          <w:marBottom w:val="160"/>
          <w:divBdr>
            <w:top w:val="none" w:sz="0" w:space="0" w:color="auto"/>
            <w:left w:val="none" w:sz="0" w:space="0" w:color="auto"/>
            <w:bottom w:val="none" w:sz="0" w:space="0" w:color="auto"/>
            <w:right w:val="none" w:sz="0" w:space="0" w:color="auto"/>
          </w:divBdr>
        </w:div>
        <w:div w:id="1312831956">
          <w:marLeft w:val="547"/>
          <w:marRight w:val="0"/>
          <w:marTop w:val="0"/>
          <w:marBottom w:val="0"/>
          <w:divBdr>
            <w:top w:val="none" w:sz="0" w:space="0" w:color="auto"/>
            <w:left w:val="none" w:sz="0" w:space="0" w:color="auto"/>
            <w:bottom w:val="none" w:sz="0" w:space="0" w:color="auto"/>
            <w:right w:val="none" w:sz="0" w:space="0" w:color="auto"/>
          </w:divBdr>
        </w:div>
      </w:divsChild>
    </w:div>
    <w:div w:id="373700959">
      <w:bodyDiv w:val="1"/>
      <w:marLeft w:val="0"/>
      <w:marRight w:val="0"/>
      <w:marTop w:val="0"/>
      <w:marBottom w:val="0"/>
      <w:divBdr>
        <w:top w:val="none" w:sz="0" w:space="0" w:color="auto"/>
        <w:left w:val="none" w:sz="0" w:space="0" w:color="auto"/>
        <w:bottom w:val="none" w:sz="0" w:space="0" w:color="auto"/>
        <w:right w:val="none" w:sz="0" w:space="0" w:color="auto"/>
      </w:divBdr>
    </w:div>
    <w:div w:id="504974043">
      <w:bodyDiv w:val="1"/>
      <w:marLeft w:val="0"/>
      <w:marRight w:val="0"/>
      <w:marTop w:val="0"/>
      <w:marBottom w:val="0"/>
      <w:divBdr>
        <w:top w:val="none" w:sz="0" w:space="0" w:color="auto"/>
        <w:left w:val="none" w:sz="0" w:space="0" w:color="auto"/>
        <w:bottom w:val="none" w:sz="0" w:space="0" w:color="auto"/>
        <w:right w:val="none" w:sz="0" w:space="0" w:color="auto"/>
      </w:divBdr>
      <w:divsChild>
        <w:div w:id="1081877156">
          <w:marLeft w:val="749"/>
          <w:marRight w:val="0"/>
          <w:marTop w:val="0"/>
          <w:marBottom w:val="0"/>
          <w:divBdr>
            <w:top w:val="none" w:sz="0" w:space="0" w:color="auto"/>
            <w:left w:val="none" w:sz="0" w:space="0" w:color="auto"/>
            <w:bottom w:val="none" w:sz="0" w:space="0" w:color="auto"/>
            <w:right w:val="none" w:sz="0" w:space="0" w:color="auto"/>
          </w:divBdr>
        </w:div>
        <w:div w:id="436603802">
          <w:marLeft w:val="749"/>
          <w:marRight w:val="0"/>
          <w:marTop w:val="0"/>
          <w:marBottom w:val="0"/>
          <w:divBdr>
            <w:top w:val="none" w:sz="0" w:space="0" w:color="auto"/>
            <w:left w:val="none" w:sz="0" w:space="0" w:color="auto"/>
            <w:bottom w:val="none" w:sz="0" w:space="0" w:color="auto"/>
            <w:right w:val="none" w:sz="0" w:space="0" w:color="auto"/>
          </w:divBdr>
        </w:div>
        <w:div w:id="642200147">
          <w:marLeft w:val="749"/>
          <w:marRight w:val="0"/>
          <w:marTop w:val="0"/>
          <w:marBottom w:val="0"/>
          <w:divBdr>
            <w:top w:val="none" w:sz="0" w:space="0" w:color="auto"/>
            <w:left w:val="none" w:sz="0" w:space="0" w:color="auto"/>
            <w:bottom w:val="none" w:sz="0" w:space="0" w:color="auto"/>
            <w:right w:val="none" w:sz="0" w:space="0" w:color="auto"/>
          </w:divBdr>
        </w:div>
        <w:div w:id="1340037154">
          <w:marLeft w:val="749"/>
          <w:marRight w:val="0"/>
          <w:marTop w:val="0"/>
          <w:marBottom w:val="0"/>
          <w:divBdr>
            <w:top w:val="none" w:sz="0" w:space="0" w:color="auto"/>
            <w:left w:val="none" w:sz="0" w:space="0" w:color="auto"/>
            <w:bottom w:val="none" w:sz="0" w:space="0" w:color="auto"/>
            <w:right w:val="none" w:sz="0" w:space="0" w:color="auto"/>
          </w:divBdr>
        </w:div>
        <w:div w:id="290863052">
          <w:marLeft w:val="749"/>
          <w:marRight w:val="0"/>
          <w:marTop w:val="0"/>
          <w:marBottom w:val="0"/>
          <w:divBdr>
            <w:top w:val="none" w:sz="0" w:space="0" w:color="auto"/>
            <w:left w:val="none" w:sz="0" w:space="0" w:color="auto"/>
            <w:bottom w:val="none" w:sz="0" w:space="0" w:color="auto"/>
            <w:right w:val="none" w:sz="0" w:space="0" w:color="auto"/>
          </w:divBdr>
        </w:div>
      </w:divsChild>
    </w:div>
    <w:div w:id="569537963">
      <w:bodyDiv w:val="1"/>
      <w:marLeft w:val="0"/>
      <w:marRight w:val="0"/>
      <w:marTop w:val="0"/>
      <w:marBottom w:val="0"/>
      <w:divBdr>
        <w:top w:val="none" w:sz="0" w:space="0" w:color="auto"/>
        <w:left w:val="none" w:sz="0" w:space="0" w:color="auto"/>
        <w:bottom w:val="none" w:sz="0" w:space="0" w:color="auto"/>
        <w:right w:val="none" w:sz="0" w:space="0" w:color="auto"/>
      </w:divBdr>
    </w:div>
    <w:div w:id="581331493">
      <w:bodyDiv w:val="1"/>
      <w:marLeft w:val="0"/>
      <w:marRight w:val="0"/>
      <w:marTop w:val="0"/>
      <w:marBottom w:val="0"/>
      <w:divBdr>
        <w:top w:val="none" w:sz="0" w:space="0" w:color="auto"/>
        <w:left w:val="none" w:sz="0" w:space="0" w:color="auto"/>
        <w:bottom w:val="none" w:sz="0" w:space="0" w:color="auto"/>
        <w:right w:val="none" w:sz="0" w:space="0" w:color="auto"/>
      </w:divBdr>
    </w:div>
    <w:div w:id="582421374">
      <w:bodyDiv w:val="1"/>
      <w:marLeft w:val="0"/>
      <w:marRight w:val="0"/>
      <w:marTop w:val="0"/>
      <w:marBottom w:val="0"/>
      <w:divBdr>
        <w:top w:val="none" w:sz="0" w:space="0" w:color="auto"/>
        <w:left w:val="none" w:sz="0" w:space="0" w:color="auto"/>
        <w:bottom w:val="none" w:sz="0" w:space="0" w:color="auto"/>
        <w:right w:val="none" w:sz="0" w:space="0" w:color="auto"/>
      </w:divBdr>
    </w:div>
    <w:div w:id="625964446">
      <w:bodyDiv w:val="1"/>
      <w:marLeft w:val="0"/>
      <w:marRight w:val="0"/>
      <w:marTop w:val="0"/>
      <w:marBottom w:val="0"/>
      <w:divBdr>
        <w:top w:val="none" w:sz="0" w:space="0" w:color="auto"/>
        <w:left w:val="none" w:sz="0" w:space="0" w:color="auto"/>
        <w:bottom w:val="none" w:sz="0" w:space="0" w:color="auto"/>
        <w:right w:val="none" w:sz="0" w:space="0" w:color="auto"/>
      </w:divBdr>
    </w:div>
    <w:div w:id="626854642">
      <w:bodyDiv w:val="1"/>
      <w:marLeft w:val="0"/>
      <w:marRight w:val="0"/>
      <w:marTop w:val="0"/>
      <w:marBottom w:val="0"/>
      <w:divBdr>
        <w:top w:val="none" w:sz="0" w:space="0" w:color="auto"/>
        <w:left w:val="none" w:sz="0" w:space="0" w:color="auto"/>
        <w:bottom w:val="none" w:sz="0" w:space="0" w:color="auto"/>
        <w:right w:val="none" w:sz="0" w:space="0" w:color="auto"/>
      </w:divBdr>
    </w:div>
    <w:div w:id="627125111">
      <w:bodyDiv w:val="1"/>
      <w:marLeft w:val="0"/>
      <w:marRight w:val="0"/>
      <w:marTop w:val="0"/>
      <w:marBottom w:val="0"/>
      <w:divBdr>
        <w:top w:val="none" w:sz="0" w:space="0" w:color="auto"/>
        <w:left w:val="none" w:sz="0" w:space="0" w:color="auto"/>
        <w:bottom w:val="none" w:sz="0" w:space="0" w:color="auto"/>
        <w:right w:val="none" w:sz="0" w:space="0" w:color="auto"/>
      </w:divBdr>
    </w:div>
    <w:div w:id="664940849">
      <w:bodyDiv w:val="1"/>
      <w:marLeft w:val="0"/>
      <w:marRight w:val="0"/>
      <w:marTop w:val="0"/>
      <w:marBottom w:val="0"/>
      <w:divBdr>
        <w:top w:val="none" w:sz="0" w:space="0" w:color="auto"/>
        <w:left w:val="none" w:sz="0" w:space="0" w:color="auto"/>
        <w:bottom w:val="none" w:sz="0" w:space="0" w:color="auto"/>
        <w:right w:val="none" w:sz="0" w:space="0" w:color="auto"/>
      </w:divBdr>
    </w:div>
    <w:div w:id="670135847">
      <w:bodyDiv w:val="1"/>
      <w:marLeft w:val="0"/>
      <w:marRight w:val="0"/>
      <w:marTop w:val="0"/>
      <w:marBottom w:val="0"/>
      <w:divBdr>
        <w:top w:val="none" w:sz="0" w:space="0" w:color="auto"/>
        <w:left w:val="none" w:sz="0" w:space="0" w:color="auto"/>
        <w:bottom w:val="none" w:sz="0" w:space="0" w:color="auto"/>
        <w:right w:val="none" w:sz="0" w:space="0" w:color="auto"/>
      </w:divBdr>
    </w:div>
    <w:div w:id="676277291">
      <w:bodyDiv w:val="1"/>
      <w:marLeft w:val="0"/>
      <w:marRight w:val="0"/>
      <w:marTop w:val="0"/>
      <w:marBottom w:val="0"/>
      <w:divBdr>
        <w:top w:val="none" w:sz="0" w:space="0" w:color="auto"/>
        <w:left w:val="none" w:sz="0" w:space="0" w:color="auto"/>
        <w:bottom w:val="none" w:sz="0" w:space="0" w:color="auto"/>
        <w:right w:val="none" w:sz="0" w:space="0" w:color="auto"/>
      </w:divBdr>
    </w:div>
    <w:div w:id="685130838">
      <w:bodyDiv w:val="1"/>
      <w:marLeft w:val="0"/>
      <w:marRight w:val="0"/>
      <w:marTop w:val="0"/>
      <w:marBottom w:val="0"/>
      <w:divBdr>
        <w:top w:val="none" w:sz="0" w:space="0" w:color="auto"/>
        <w:left w:val="none" w:sz="0" w:space="0" w:color="auto"/>
        <w:bottom w:val="none" w:sz="0" w:space="0" w:color="auto"/>
        <w:right w:val="none" w:sz="0" w:space="0" w:color="auto"/>
      </w:divBdr>
    </w:div>
    <w:div w:id="711734395">
      <w:bodyDiv w:val="1"/>
      <w:marLeft w:val="0"/>
      <w:marRight w:val="0"/>
      <w:marTop w:val="0"/>
      <w:marBottom w:val="0"/>
      <w:divBdr>
        <w:top w:val="none" w:sz="0" w:space="0" w:color="auto"/>
        <w:left w:val="none" w:sz="0" w:space="0" w:color="auto"/>
        <w:bottom w:val="none" w:sz="0" w:space="0" w:color="auto"/>
        <w:right w:val="none" w:sz="0" w:space="0" w:color="auto"/>
      </w:divBdr>
    </w:div>
    <w:div w:id="762411850">
      <w:bodyDiv w:val="1"/>
      <w:marLeft w:val="0"/>
      <w:marRight w:val="0"/>
      <w:marTop w:val="0"/>
      <w:marBottom w:val="0"/>
      <w:divBdr>
        <w:top w:val="none" w:sz="0" w:space="0" w:color="auto"/>
        <w:left w:val="none" w:sz="0" w:space="0" w:color="auto"/>
        <w:bottom w:val="none" w:sz="0" w:space="0" w:color="auto"/>
        <w:right w:val="none" w:sz="0" w:space="0" w:color="auto"/>
      </w:divBdr>
    </w:div>
    <w:div w:id="763452604">
      <w:bodyDiv w:val="1"/>
      <w:marLeft w:val="0"/>
      <w:marRight w:val="0"/>
      <w:marTop w:val="0"/>
      <w:marBottom w:val="0"/>
      <w:divBdr>
        <w:top w:val="none" w:sz="0" w:space="0" w:color="auto"/>
        <w:left w:val="none" w:sz="0" w:space="0" w:color="auto"/>
        <w:bottom w:val="none" w:sz="0" w:space="0" w:color="auto"/>
        <w:right w:val="none" w:sz="0" w:space="0" w:color="auto"/>
      </w:divBdr>
    </w:div>
    <w:div w:id="775172699">
      <w:bodyDiv w:val="1"/>
      <w:marLeft w:val="0"/>
      <w:marRight w:val="0"/>
      <w:marTop w:val="0"/>
      <w:marBottom w:val="0"/>
      <w:divBdr>
        <w:top w:val="none" w:sz="0" w:space="0" w:color="auto"/>
        <w:left w:val="none" w:sz="0" w:space="0" w:color="auto"/>
        <w:bottom w:val="none" w:sz="0" w:space="0" w:color="auto"/>
        <w:right w:val="none" w:sz="0" w:space="0" w:color="auto"/>
      </w:divBdr>
      <w:divsChild>
        <w:div w:id="1813060185">
          <w:marLeft w:val="749"/>
          <w:marRight w:val="0"/>
          <w:marTop w:val="0"/>
          <w:marBottom w:val="0"/>
          <w:divBdr>
            <w:top w:val="none" w:sz="0" w:space="0" w:color="auto"/>
            <w:left w:val="none" w:sz="0" w:space="0" w:color="auto"/>
            <w:bottom w:val="none" w:sz="0" w:space="0" w:color="auto"/>
            <w:right w:val="none" w:sz="0" w:space="0" w:color="auto"/>
          </w:divBdr>
        </w:div>
        <w:div w:id="19934696">
          <w:marLeft w:val="749"/>
          <w:marRight w:val="0"/>
          <w:marTop w:val="0"/>
          <w:marBottom w:val="0"/>
          <w:divBdr>
            <w:top w:val="none" w:sz="0" w:space="0" w:color="auto"/>
            <w:left w:val="none" w:sz="0" w:space="0" w:color="auto"/>
            <w:bottom w:val="none" w:sz="0" w:space="0" w:color="auto"/>
            <w:right w:val="none" w:sz="0" w:space="0" w:color="auto"/>
          </w:divBdr>
        </w:div>
        <w:div w:id="1903633021">
          <w:marLeft w:val="749"/>
          <w:marRight w:val="0"/>
          <w:marTop w:val="0"/>
          <w:marBottom w:val="0"/>
          <w:divBdr>
            <w:top w:val="none" w:sz="0" w:space="0" w:color="auto"/>
            <w:left w:val="none" w:sz="0" w:space="0" w:color="auto"/>
            <w:bottom w:val="none" w:sz="0" w:space="0" w:color="auto"/>
            <w:right w:val="none" w:sz="0" w:space="0" w:color="auto"/>
          </w:divBdr>
        </w:div>
        <w:div w:id="2027051233">
          <w:marLeft w:val="749"/>
          <w:marRight w:val="0"/>
          <w:marTop w:val="0"/>
          <w:marBottom w:val="0"/>
          <w:divBdr>
            <w:top w:val="none" w:sz="0" w:space="0" w:color="auto"/>
            <w:left w:val="none" w:sz="0" w:space="0" w:color="auto"/>
            <w:bottom w:val="none" w:sz="0" w:space="0" w:color="auto"/>
            <w:right w:val="none" w:sz="0" w:space="0" w:color="auto"/>
          </w:divBdr>
        </w:div>
        <w:div w:id="1369524904">
          <w:marLeft w:val="749"/>
          <w:marRight w:val="0"/>
          <w:marTop w:val="0"/>
          <w:marBottom w:val="0"/>
          <w:divBdr>
            <w:top w:val="none" w:sz="0" w:space="0" w:color="auto"/>
            <w:left w:val="none" w:sz="0" w:space="0" w:color="auto"/>
            <w:bottom w:val="none" w:sz="0" w:space="0" w:color="auto"/>
            <w:right w:val="none" w:sz="0" w:space="0" w:color="auto"/>
          </w:divBdr>
        </w:div>
      </w:divsChild>
    </w:div>
    <w:div w:id="779374192">
      <w:bodyDiv w:val="1"/>
      <w:marLeft w:val="0"/>
      <w:marRight w:val="0"/>
      <w:marTop w:val="0"/>
      <w:marBottom w:val="0"/>
      <w:divBdr>
        <w:top w:val="none" w:sz="0" w:space="0" w:color="auto"/>
        <w:left w:val="none" w:sz="0" w:space="0" w:color="auto"/>
        <w:bottom w:val="none" w:sz="0" w:space="0" w:color="auto"/>
        <w:right w:val="none" w:sz="0" w:space="0" w:color="auto"/>
      </w:divBdr>
    </w:div>
    <w:div w:id="823157336">
      <w:bodyDiv w:val="1"/>
      <w:marLeft w:val="0"/>
      <w:marRight w:val="0"/>
      <w:marTop w:val="0"/>
      <w:marBottom w:val="0"/>
      <w:divBdr>
        <w:top w:val="none" w:sz="0" w:space="0" w:color="auto"/>
        <w:left w:val="none" w:sz="0" w:space="0" w:color="auto"/>
        <w:bottom w:val="none" w:sz="0" w:space="0" w:color="auto"/>
        <w:right w:val="none" w:sz="0" w:space="0" w:color="auto"/>
      </w:divBdr>
    </w:div>
    <w:div w:id="841626169">
      <w:bodyDiv w:val="1"/>
      <w:marLeft w:val="0"/>
      <w:marRight w:val="0"/>
      <w:marTop w:val="0"/>
      <w:marBottom w:val="0"/>
      <w:divBdr>
        <w:top w:val="none" w:sz="0" w:space="0" w:color="auto"/>
        <w:left w:val="none" w:sz="0" w:space="0" w:color="auto"/>
        <w:bottom w:val="none" w:sz="0" w:space="0" w:color="auto"/>
        <w:right w:val="none" w:sz="0" w:space="0" w:color="auto"/>
      </w:divBdr>
    </w:div>
    <w:div w:id="844249066">
      <w:bodyDiv w:val="1"/>
      <w:marLeft w:val="0"/>
      <w:marRight w:val="0"/>
      <w:marTop w:val="0"/>
      <w:marBottom w:val="0"/>
      <w:divBdr>
        <w:top w:val="none" w:sz="0" w:space="0" w:color="auto"/>
        <w:left w:val="none" w:sz="0" w:space="0" w:color="auto"/>
        <w:bottom w:val="none" w:sz="0" w:space="0" w:color="auto"/>
        <w:right w:val="none" w:sz="0" w:space="0" w:color="auto"/>
      </w:divBdr>
    </w:div>
    <w:div w:id="858274219">
      <w:bodyDiv w:val="1"/>
      <w:marLeft w:val="0"/>
      <w:marRight w:val="0"/>
      <w:marTop w:val="0"/>
      <w:marBottom w:val="0"/>
      <w:divBdr>
        <w:top w:val="none" w:sz="0" w:space="0" w:color="auto"/>
        <w:left w:val="none" w:sz="0" w:space="0" w:color="auto"/>
        <w:bottom w:val="none" w:sz="0" w:space="0" w:color="auto"/>
        <w:right w:val="none" w:sz="0" w:space="0" w:color="auto"/>
      </w:divBdr>
    </w:div>
    <w:div w:id="893397007">
      <w:bodyDiv w:val="1"/>
      <w:marLeft w:val="0"/>
      <w:marRight w:val="0"/>
      <w:marTop w:val="0"/>
      <w:marBottom w:val="0"/>
      <w:divBdr>
        <w:top w:val="none" w:sz="0" w:space="0" w:color="auto"/>
        <w:left w:val="none" w:sz="0" w:space="0" w:color="auto"/>
        <w:bottom w:val="none" w:sz="0" w:space="0" w:color="auto"/>
        <w:right w:val="none" w:sz="0" w:space="0" w:color="auto"/>
      </w:divBdr>
    </w:div>
    <w:div w:id="922570659">
      <w:bodyDiv w:val="1"/>
      <w:marLeft w:val="0"/>
      <w:marRight w:val="0"/>
      <w:marTop w:val="0"/>
      <w:marBottom w:val="0"/>
      <w:divBdr>
        <w:top w:val="none" w:sz="0" w:space="0" w:color="auto"/>
        <w:left w:val="none" w:sz="0" w:space="0" w:color="auto"/>
        <w:bottom w:val="none" w:sz="0" w:space="0" w:color="auto"/>
        <w:right w:val="none" w:sz="0" w:space="0" w:color="auto"/>
      </w:divBdr>
    </w:div>
    <w:div w:id="922683236">
      <w:bodyDiv w:val="1"/>
      <w:marLeft w:val="0"/>
      <w:marRight w:val="0"/>
      <w:marTop w:val="0"/>
      <w:marBottom w:val="0"/>
      <w:divBdr>
        <w:top w:val="none" w:sz="0" w:space="0" w:color="auto"/>
        <w:left w:val="none" w:sz="0" w:space="0" w:color="auto"/>
        <w:bottom w:val="none" w:sz="0" w:space="0" w:color="auto"/>
        <w:right w:val="none" w:sz="0" w:space="0" w:color="auto"/>
      </w:divBdr>
    </w:div>
    <w:div w:id="991181695">
      <w:bodyDiv w:val="1"/>
      <w:marLeft w:val="0"/>
      <w:marRight w:val="0"/>
      <w:marTop w:val="0"/>
      <w:marBottom w:val="0"/>
      <w:divBdr>
        <w:top w:val="none" w:sz="0" w:space="0" w:color="auto"/>
        <w:left w:val="none" w:sz="0" w:space="0" w:color="auto"/>
        <w:bottom w:val="none" w:sz="0" w:space="0" w:color="auto"/>
        <w:right w:val="none" w:sz="0" w:space="0" w:color="auto"/>
      </w:divBdr>
    </w:div>
    <w:div w:id="1006131979">
      <w:bodyDiv w:val="1"/>
      <w:marLeft w:val="0"/>
      <w:marRight w:val="0"/>
      <w:marTop w:val="0"/>
      <w:marBottom w:val="0"/>
      <w:divBdr>
        <w:top w:val="none" w:sz="0" w:space="0" w:color="auto"/>
        <w:left w:val="none" w:sz="0" w:space="0" w:color="auto"/>
        <w:bottom w:val="none" w:sz="0" w:space="0" w:color="auto"/>
        <w:right w:val="none" w:sz="0" w:space="0" w:color="auto"/>
      </w:divBdr>
    </w:div>
    <w:div w:id="1023701718">
      <w:bodyDiv w:val="1"/>
      <w:marLeft w:val="0"/>
      <w:marRight w:val="0"/>
      <w:marTop w:val="0"/>
      <w:marBottom w:val="0"/>
      <w:divBdr>
        <w:top w:val="none" w:sz="0" w:space="0" w:color="auto"/>
        <w:left w:val="none" w:sz="0" w:space="0" w:color="auto"/>
        <w:bottom w:val="none" w:sz="0" w:space="0" w:color="auto"/>
        <w:right w:val="none" w:sz="0" w:space="0" w:color="auto"/>
      </w:divBdr>
    </w:div>
    <w:div w:id="1026298848">
      <w:bodyDiv w:val="1"/>
      <w:marLeft w:val="0"/>
      <w:marRight w:val="0"/>
      <w:marTop w:val="0"/>
      <w:marBottom w:val="0"/>
      <w:divBdr>
        <w:top w:val="none" w:sz="0" w:space="0" w:color="auto"/>
        <w:left w:val="none" w:sz="0" w:space="0" w:color="auto"/>
        <w:bottom w:val="none" w:sz="0" w:space="0" w:color="auto"/>
        <w:right w:val="none" w:sz="0" w:space="0" w:color="auto"/>
      </w:divBdr>
    </w:div>
    <w:div w:id="1033073905">
      <w:bodyDiv w:val="1"/>
      <w:marLeft w:val="0"/>
      <w:marRight w:val="0"/>
      <w:marTop w:val="0"/>
      <w:marBottom w:val="0"/>
      <w:divBdr>
        <w:top w:val="none" w:sz="0" w:space="0" w:color="auto"/>
        <w:left w:val="none" w:sz="0" w:space="0" w:color="auto"/>
        <w:bottom w:val="none" w:sz="0" w:space="0" w:color="auto"/>
        <w:right w:val="none" w:sz="0" w:space="0" w:color="auto"/>
      </w:divBdr>
    </w:div>
    <w:div w:id="1035498846">
      <w:bodyDiv w:val="1"/>
      <w:marLeft w:val="0"/>
      <w:marRight w:val="0"/>
      <w:marTop w:val="0"/>
      <w:marBottom w:val="0"/>
      <w:divBdr>
        <w:top w:val="none" w:sz="0" w:space="0" w:color="auto"/>
        <w:left w:val="none" w:sz="0" w:space="0" w:color="auto"/>
        <w:bottom w:val="none" w:sz="0" w:space="0" w:color="auto"/>
        <w:right w:val="none" w:sz="0" w:space="0" w:color="auto"/>
      </w:divBdr>
    </w:div>
    <w:div w:id="1049691098">
      <w:bodyDiv w:val="1"/>
      <w:marLeft w:val="0"/>
      <w:marRight w:val="0"/>
      <w:marTop w:val="0"/>
      <w:marBottom w:val="0"/>
      <w:divBdr>
        <w:top w:val="none" w:sz="0" w:space="0" w:color="auto"/>
        <w:left w:val="none" w:sz="0" w:space="0" w:color="auto"/>
        <w:bottom w:val="none" w:sz="0" w:space="0" w:color="auto"/>
        <w:right w:val="none" w:sz="0" w:space="0" w:color="auto"/>
      </w:divBdr>
    </w:div>
    <w:div w:id="1091505056">
      <w:bodyDiv w:val="1"/>
      <w:marLeft w:val="0"/>
      <w:marRight w:val="0"/>
      <w:marTop w:val="0"/>
      <w:marBottom w:val="0"/>
      <w:divBdr>
        <w:top w:val="none" w:sz="0" w:space="0" w:color="auto"/>
        <w:left w:val="none" w:sz="0" w:space="0" w:color="auto"/>
        <w:bottom w:val="none" w:sz="0" w:space="0" w:color="auto"/>
        <w:right w:val="none" w:sz="0" w:space="0" w:color="auto"/>
      </w:divBdr>
    </w:div>
    <w:div w:id="1101873952">
      <w:bodyDiv w:val="1"/>
      <w:marLeft w:val="0"/>
      <w:marRight w:val="0"/>
      <w:marTop w:val="0"/>
      <w:marBottom w:val="0"/>
      <w:divBdr>
        <w:top w:val="none" w:sz="0" w:space="0" w:color="auto"/>
        <w:left w:val="none" w:sz="0" w:space="0" w:color="auto"/>
        <w:bottom w:val="none" w:sz="0" w:space="0" w:color="auto"/>
        <w:right w:val="none" w:sz="0" w:space="0" w:color="auto"/>
      </w:divBdr>
    </w:div>
    <w:div w:id="1137263165">
      <w:bodyDiv w:val="1"/>
      <w:marLeft w:val="0"/>
      <w:marRight w:val="0"/>
      <w:marTop w:val="0"/>
      <w:marBottom w:val="0"/>
      <w:divBdr>
        <w:top w:val="none" w:sz="0" w:space="0" w:color="auto"/>
        <w:left w:val="none" w:sz="0" w:space="0" w:color="auto"/>
        <w:bottom w:val="none" w:sz="0" w:space="0" w:color="auto"/>
        <w:right w:val="none" w:sz="0" w:space="0" w:color="auto"/>
      </w:divBdr>
    </w:div>
    <w:div w:id="1138500448">
      <w:bodyDiv w:val="1"/>
      <w:marLeft w:val="0"/>
      <w:marRight w:val="0"/>
      <w:marTop w:val="0"/>
      <w:marBottom w:val="0"/>
      <w:divBdr>
        <w:top w:val="none" w:sz="0" w:space="0" w:color="auto"/>
        <w:left w:val="none" w:sz="0" w:space="0" w:color="auto"/>
        <w:bottom w:val="none" w:sz="0" w:space="0" w:color="auto"/>
        <w:right w:val="none" w:sz="0" w:space="0" w:color="auto"/>
      </w:divBdr>
    </w:div>
    <w:div w:id="1141386680">
      <w:bodyDiv w:val="1"/>
      <w:marLeft w:val="0"/>
      <w:marRight w:val="0"/>
      <w:marTop w:val="0"/>
      <w:marBottom w:val="0"/>
      <w:divBdr>
        <w:top w:val="none" w:sz="0" w:space="0" w:color="auto"/>
        <w:left w:val="none" w:sz="0" w:space="0" w:color="auto"/>
        <w:bottom w:val="none" w:sz="0" w:space="0" w:color="auto"/>
        <w:right w:val="none" w:sz="0" w:space="0" w:color="auto"/>
      </w:divBdr>
    </w:div>
    <w:div w:id="1143426653">
      <w:bodyDiv w:val="1"/>
      <w:marLeft w:val="0"/>
      <w:marRight w:val="0"/>
      <w:marTop w:val="0"/>
      <w:marBottom w:val="0"/>
      <w:divBdr>
        <w:top w:val="none" w:sz="0" w:space="0" w:color="auto"/>
        <w:left w:val="none" w:sz="0" w:space="0" w:color="auto"/>
        <w:bottom w:val="none" w:sz="0" w:space="0" w:color="auto"/>
        <w:right w:val="none" w:sz="0" w:space="0" w:color="auto"/>
      </w:divBdr>
    </w:div>
    <w:div w:id="1172642835">
      <w:bodyDiv w:val="1"/>
      <w:marLeft w:val="0"/>
      <w:marRight w:val="0"/>
      <w:marTop w:val="0"/>
      <w:marBottom w:val="0"/>
      <w:divBdr>
        <w:top w:val="none" w:sz="0" w:space="0" w:color="auto"/>
        <w:left w:val="none" w:sz="0" w:space="0" w:color="auto"/>
        <w:bottom w:val="none" w:sz="0" w:space="0" w:color="auto"/>
        <w:right w:val="none" w:sz="0" w:space="0" w:color="auto"/>
      </w:divBdr>
    </w:div>
    <w:div w:id="1215002493">
      <w:bodyDiv w:val="1"/>
      <w:marLeft w:val="0"/>
      <w:marRight w:val="0"/>
      <w:marTop w:val="0"/>
      <w:marBottom w:val="0"/>
      <w:divBdr>
        <w:top w:val="none" w:sz="0" w:space="0" w:color="auto"/>
        <w:left w:val="none" w:sz="0" w:space="0" w:color="auto"/>
        <w:bottom w:val="none" w:sz="0" w:space="0" w:color="auto"/>
        <w:right w:val="none" w:sz="0" w:space="0" w:color="auto"/>
      </w:divBdr>
    </w:div>
    <w:div w:id="1222718215">
      <w:bodyDiv w:val="1"/>
      <w:marLeft w:val="0"/>
      <w:marRight w:val="0"/>
      <w:marTop w:val="0"/>
      <w:marBottom w:val="0"/>
      <w:divBdr>
        <w:top w:val="none" w:sz="0" w:space="0" w:color="auto"/>
        <w:left w:val="none" w:sz="0" w:space="0" w:color="auto"/>
        <w:bottom w:val="none" w:sz="0" w:space="0" w:color="auto"/>
        <w:right w:val="none" w:sz="0" w:space="0" w:color="auto"/>
      </w:divBdr>
    </w:div>
    <w:div w:id="1232427058">
      <w:bodyDiv w:val="1"/>
      <w:marLeft w:val="0"/>
      <w:marRight w:val="0"/>
      <w:marTop w:val="0"/>
      <w:marBottom w:val="0"/>
      <w:divBdr>
        <w:top w:val="none" w:sz="0" w:space="0" w:color="auto"/>
        <w:left w:val="none" w:sz="0" w:space="0" w:color="auto"/>
        <w:bottom w:val="none" w:sz="0" w:space="0" w:color="auto"/>
        <w:right w:val="none" w:sz="0" w:space="0" w:color="auto"/>
      </w:divBdr>
    </w:div>
    <w:div w:id="1246955014">
      <w:bodyDiv w:val="1"/>
      <w:marLeft w:val="0"/>
      <w:marRight w:val="0"/>
      <w:marTop w:val="0"/>
      <w:marBottom w:val="0"/>
      <w:divBdr>
        <w:top w:val="none" w:sz="0" w:space="0" w:color="auto"/>
        <w:left w:val="none" w:sz="0" w:space="0" w:color="auto"/>
        <w:bottom w:val="none" w:sz="0" w:space="0" w:color="auto"/>
        <w:right w:val="none" w:sz="0" w:space="0" w:color="auto"/>
      </w:divBdr>
    </w:div>
    <w:div w:id="1247881938">
      <w:bodyDiv w:val="1"/>
      <w:marLeft w:val="0"/>
      <w:marRight w:val="0"/>
      <w:marTop w:val="0"/>
      <w:marBottom w:val="0"/>
      <w:divBdr>
        <w:top w:val="none" w:sz="0" w:space="0" w:color="auto"/>
        <w:left w:val="none" w:sz="0" w:space="0" w:color="auto"/>
        <w:bottom w:val="none" w:sz="0" w:space="0" w:color="auto"/>
        <w:right w:val="none" w:sz="0" w:space="0" w:color="auto"/>
      </w:divBdr>
    </w:div>
    <w:div w:id="1335958707">
      <w:bodyDiv w:val="1"/>
      <w:marLeft w:val="0"/>
      <w:marRight w:val="0"/>
      <w:marTop w:val="0"/>
      <w:marBottom w:val="0"/>
      <w:divBdr>
        <w:top w:val="none" w:sz="0" w:space="0" w:color="auto"/>
        <w:left w:val="none" w:sz="0" w:space="0" w:color="auto"/>
        <w:bottom w:val="none" w:sz="0" w:space="0" w:color="auto"/>
        <w:right w:val="none" w:sz="0" w:space="0" w:color="auto"/>
      </w:divBdr>
    </w:div>
    <w:div w:id="1346519100">
      <w:bodyDiv w:val="1"/>
      <w:marLeft w:val="0"/>
      <w:marRight w:val="0"/>
      <w:marTop w:val="0"/>
      <w:marBottom w:val="0"/>
      <w:divBdr>
        <w:top w:val="none" w:sz="0" w:space="0" w:color="auto"/>
        <w:left w:val="none" w:sz="0" w:space="0" w:color="auto"/>
        <w:bottom w:val="none" w:sz="0" w:space="0" w:color="auto"/>
        <w:right w:val="none" w:sz="0" w:space="0" w:color="auto"/>
      </w:divBdr>
    </w:div>
    <w:div w:id="1383361398">
      <w:bodyDiv w:val="1"/>
      <w:marLeft w:val="0"/>
      <w:marRight w:val="0"/>
      <w:marTop w:val="0"/>
      <w:marBottom w:val="0"/>
      <w:divBdr>
        <w:top w:val="none" w:sz="0" w:space="0" w:color="auto"/>
        <w:left w:val="none" w:sz="0" w:space="0" w:color="auto"/>
        <w:bottom w:val="none" w:sz="0" w:space="0" w:color="auto"/>
        <w:right w:val="none" w:sz="0" w:space="0" w:color="auto"/>
      </w:divBdr>
    </w:div>
    <w:div w:id="1395466003">
      <w:bodyDiv w:val="1"/>
      <w:marLeft w:val="0"/>
      <w:marRight w:val="0"/>
      <w:marTop w:val="0"/>
      <w:marBottom w:val="0"/>
      <w:divBdr>
        <w:top w:val="none" w:sz="0" w:space="0" w:color="auto"/>
        <w:left w:val="none" w:sz="0" w:space="0" w:color="auto"/>
        <w:bottom w:val="none" w:sz="0" w:space="0" w:color="auto"/>
        <w:right w:val="none" w:sz="0" w:space="0" w:color="auto"/>
      </w:divBdr>
    </w:div>
    <w:div w:id="1396390632">
      <w:bodyDiv w:val="1"/>
      <w:marLeft w:val="0"/>
      <w:marRight w:val="0"/>
      <w:marTop w:val="0"/>
      <w:marBottom w:val="0"/>
      <w:divBdr>
        <w:top w:val="none" w:sz="0" w:space="0" w:color="auto"/>
        <w:left w:val="none" w:sz="0" w:space="0" w:color="auto"/>
        <w:bottom w:val="none" w:sz="0" w:space="0" w:color="auto"/>
        <w:right w:val="none" w:sz="0" w:space="0" w:color="auto"/>
      </w:divBdr>
    </w:div>
    <w:div w:id="1397820197">
      <w:bodyDiv w:val="1"/>
      <w:marLeft w:val="0"/>
      <w:marRight w:val="0"/>
      <w:marTop w:val="0"/>
      <w:marBottom w:val="0"/>
      <w:divBdr>
        <w:top w:val="none" w:sz="0" w:space="0" w:color="auto"/>
        <w:left w:val="none" w:sz="0" w:space="0" w:color="auto"/>
        <w:bottom w:val="none" w:sz="0" w:space="0" w:color="auto"/>
        <w:right w:val="none" w:sz="0" w:space="0" w:color="auto"/>
      </w:divBdr>
    </w:div>
    <w:div w:id="1403988887">
      <w:bodyDiv w:val="1"/>
      <w:marLeft w:val="0"/>
      <w:marRight w:val="0"/>
      <w:marTop w:val="0"/>
      <w:marBottom w:val="0"/>
      <w:divBdr>
        <w:top w:val="none" w:sz="0" w:space="0" w:color="auto"/>
        <w:left w:val="none" w:sz="0" w:space="0" w:color="auto"/>
        <w:bottom w:val="none" w:sz="0" w:space="0" w:color="auto"/>
        <w:right w:val="none" w:sz="0" w:space="0" w:color="auto"/>
      </w:divBdr>
    </w:div>
    <w:div w:id="1428842729">
      <w:bodyDiv w:val="1"/>
      <w:marLeft w:val="0"/>
      <w:marRight w:val="0"/>
      <w:marTop w:val="0"/>
      <w:marBottom w:val="0"/>
      <w:divBdr>
        <w:top w:val="none" w:sz="0" w:space="0" w:color="auto"/>
        <w:left w:val="none" w:sz="0" w:space="0" w:color="auto"/>
        <w:bottom w:val="none" w:sz="0" w:space="0" w:color="auto"/>
        <w:right w:val="none" w:sz="0" w:space="0" w:color="auto"/>
      </w:divBdr>
    </w:div>
    <w:div w:id="1482234330">
      <w:bodyDiv w:val="1"/>
      <w:marLeft w:val="0"/>
      <w:marRight w:val="0"/>
      <w:marTop w:val="0"/>
      <w:marBottom w:val="0"/>
      <w:divBdr>
        <w:top w:val="none" w:sz="0" w:space="0" w:color="auto"/>
        <w:left w:val="none" w:sz="0" w:space="0" w:color="auto"/>
        <w:bottom w:val="none" w:sz="0" w:space="0" w:color="auto"/>
        <w:right w:val="none" w:sz="0" w:space="0" w:color="auto"/>
      </w:divBdr>
    </w:div>
    <w:div w:id="1491487115">
      <w:bodyDiv w:val="1"/>
      <w:marLeft w:val="0"/>
      <w:marRight w:val="0"/>
      <w:marTop w:val="0"/>
      <w:marBottom w:val="0"/>
      <w:divBdr>
        <w:top w:val="none" w:sz="0" w:space="0" w:color="auto"/>
        <w:left w:val="none" w:sz="0" w:space="0" w:color="auto"/>
        <w:bottom w:val="none" w:sz="0" w:space="0" w:color="auto"/>
        <w:right w:val="none" w:sz="0" w:space="0" w:color="auto"/>
      </w:divBdr>
    </w:div>
    <w:div w:id="1523393502">
      <w:bodyDiv w:val="1"/>
      <w:marLeft w:val="0"/>
      <w:marRight w:val="0"/>
      <w:marTop w:val="0"/>
      <w:marBottom w:val="0"/>
      <w:divBdr>
        <w:top w:val="none" w:sz="0" w:space="0" w:color="auto"/>
        <w:left w:val="none" w:sz="0" w:space="0" w:color="auto"/>
        <w:bottom w:val="none" w:sz="0" w:space="0" w:color="auto"/>
        <w:right w:val="none" w:sz="0" w:space="0" w:color="auto"/>
      </w:divBdr>
      <w:divsChild>
        <w:div w:id="1057630218">
          <w:marLeft w:val="360"/>
          <w:marRight w:val="0"/>
          <w:marTop w:val="0"/>
          <w:marBottom w:val="0"/>
          <w:divBdr>
            <w:top w:val="none" w:sz="0" w:space="0" w:color="auto"/>
            <w:left w:val="none" w:sz="0" w:space="0" w:color="auto"/>
            <w:bottom w:val="none" w:sz="0" w:space="0" w:color="auto"/>
            <w:right w:val="none" w:sz="0" w:space="0" w:color="auto"/>
          </w:divBdr>
        </w:div>
        <w:div w:id="1744064259">
          <w:marLeft w:val="360"/>
          <w:marRight w:val="0"/>
          <w:marTop w:val="0"/>
          <w:marBottom w:val="0"/>
          <w:divBdr>
            <w:top w:val="none" w:sz="0" w:space="0" w:color="auto"/>
            <w:left w:val="none" w:sz="0" w:space="0" w:color="auto"/>
            <w:bottom w:val="none" w:sz="0" w:space="0" w:color="auto"/>
            <w:right w:val="none" w:sz="0" w:space="0" w:color="auto"/>
          </w:divBdr>
        </w:div>
        <w:div w:id="1650749320">
          <w:marLeft w:val="360"/>
          <w:marRight w:val="0"/>
          <w:marTop w:val="0"/>
          <w:marBottom w:val="0"/>
          <w:divBdr>
            <w:top w:val="none" w:sz="0" w:space="0" w:color="auto"/>
            <w:left w:val="none" w:sz="0" w:space="0" w:color="auto"/>
            <w:bottom w:val="none" w:sz="0" w:space="0" w:color="auto"/>
            <w:right w:val="none" w:sz="0" w:space="0" w:color="auto"/>
          </w:divBdr>
        </w:div>
      </w:divsChild>
    </w:div>
    <w:div w:id="1543445517">
      <w:bodyDiv w:val="1"/>
      <w:marLeft w:val="0"/>
      <w:marRight w:val="0"/>
      <w:marTop w:val="0"/>
      <w:marBottom w:val="0"/>
      <w:divBdr>
        <w:top w:val="none" w:sz="0" w:space="0" w:color="auto"/>
        <w:left w:val="none" w:sz="0" w:space="0" w:color="auto"/>
        <w:bottom w:val="none" w:sz="0" w:space="0" w:color="auto"/>
        <w:right w:val="none" w:sz="0" w:space="0" w:color="auto"/>
      </w:divBdr>
    </w:div>
    <w:div w:id="1543860114">
      <w:bodyDiv w:val="1"/>
      <w:marLeft w:val="0"/>
      <w:marRight w:val="0"/>
      <w:marTop w:val="0"/>
      <w:marBottom w:val="0"/>
      <w:divBdr>
        <w:top w:val="none" w:sz="0" w:space="0" w:color="auto"/>
        <w:left w:val="none" w:sz="0" w:space="0" w:color="auto"/>
        <w:bottom w:val="none" w:sz="0" w:space="0" w:color="auto"/>
        <w:right w:val="none" w:sz="0" w:space="0" w:color="auto"/>
      </w:divBdr>
    </w:div>
    <w:div w:id="1557624300">
      <w:bodyDiv w:val="1"/>
      <w:marLeft w:val="0"/>
      <w:marRight w:val="0"/>
      <w:marTop w:val="0"/>
      <w:marBottom w:val="0"/>
      <w:divBdr>
        <w:top w:val="none" w:sz="0" w:space="0" w:color="auto"/>
        <w:left w:val="none" w:sz="0" w:space="0" w:color="auto"/>
        <w:bottom w:val="none" w:sz="0" w:space="0" w:color="auto"/>
        <w:right w:val="none" w:sz="0" w:space="0" w:color="auto"/>
      </w:divBdr>
    </w:div>
    <w:div w:id="1573157150">
      <w:bodyDiv w:val="1"/>
      <w:marLeft w:val="0"/>
      <w:marRight w:val="0"/>
      <w:marTop w:val="0"/>
      <w:marBottom w:val="0"/>
      <w:divBdr>
        <w:top w:val="none" w:sz="0" w:space="0" w:color="auto"/>
        <w:left w:val="none" w:sz="0" w:space="0" w:color="auto"/>
        <w:bottom w:val="none" w:sz="0" w:space="0" w:color="auto"/>
        <w:right w:val="none" w:sz="0" w:space="0" w:color="auto"/>
      </w:divBdr>
      <w:divsChild>
        <w:div w:id="1341277259">
          <w:marLeft w:val="749"/>
          <w:marRight w:val="0"/>
          <w:marTop w:val="0"/>
          <w:marBottom w:val="0"/>
          <w:divBdr>
            <w:top w:val="none" w:sz="0" w:space="0" w:color="auto"/>
            <w:left w:val="none" w:sz="0" w:space="0" w:color="auto"/>
            <w:bottom w:val="none" w:sz="0" w:space="0" w:color="auto"/>
            <w:right w:val="none" w:sz="0" w:space="0" w:color="auto"/>
          </w:divBdr>
        </w:div>
        <w:div w:id="1726561243">
          <w:marLeft w:val="749"/>
          <w:marRight w:val="0"/>
          <w:marTop w:val="0"/>
          <w:marBottom w:val="0"/>
          <w:divBdr>
            <w:top w:val="none" w:sz="0" w:space="0" w:color="auto"/>
            <w:left w:val="none" w:sz="0" w:space="0" w:color="auto"/>
            <w:bottom w:val="none" w:sz="0" w:space="0" w:color="auto"/>
            <w:right w:val="none" w:sz="0" w:space="0" w:color="auto"/>
          </w:divBdr>
        </w:div>
        <w:div w:id="1122922554">
          <w:marLeft w:val="749"/>
          <w:marRight w:val="0"/>
          <w:marTop w:val="0"/>
          <w:marBottom w:val="0"/>
          <w:divBdr>
            <w:top w:val="none" w:sz="0" w:space="0" w:color="auto"/>
            <w:left w:val="none" w:sz="0" w:space="0" w:color="auto"/>
            <w:bottom w:val="none" w:sz="0" w:space="0" w:color="auto"/>
            <w:right w:val="none" w:sz="0" w:space="0" w:color="auto"/>
          </w:divBdr>
        </w:div>
        <w:div w:id="1995406089">
          <w:marLeft w:val="749"/>
          <w:marRight w:val="0"/>
          <w:marTop w:val="0"/>
          <w:marBottom w:val="0"/>
          <w:divBdr>
            <w:top w:val="none" w:sz="0" w:space="0" w:color="auto"/>
            <w:left w:val="none" w:sz="0" w:space="0" w:color="auto"/>
            <w:bottom w:val="none" w:sz="0" w:space="0" w:color="auto"/>
            <w:right w:val="none" w:sz="0" w:space="0" w:color="auto"/>
          </w:divBdr>
        </w:div>
        <w:div w:id="1665471929">
          <w:marLeft w:val="749"/>
          <w:marRight w:val="0"/>
          <w:marTop w:val="0"/>
          <w:marBottom w:val="0"/>
          <w:divBdr>
            <w:top w:val="none" w:sz="0" w:space="0" w:color="auto"/>
            <w:left w:val="none" w:sz="0" w:space="0" w:color="auto"/>
            <w:bottom w:val="none" w:sz="0" w:space="0" w:color="auto"/>
            <w:right w:val="none" w:sz="0" w:space="0" w:color="auto"/>
          </w:divBdr>
        </w:div>
      </w:divsChild>
    </w:div>
    <w:div w:id="1585645139">
      <w:bodyDiv w:val="1"/>
      <w:marLeft w:val="0"/>
      <w:marRight w:val="0"/>
      <w:marTop w:val="0"/>
      <w:marBottom w:val="0"/>
      <w:divBdr>
        <w:top w:val="none" w:sz="0" w:space="0" w:color="auto"/>
        <w:left w:val="none" w:sz="0" w:space="0" w:color="auto"/>
        <w:bottom w:val="none" w:sz="0" w:space="0" w:color="auto"/>
        <w:right w:val="none" w:sz="0" w:space="0" w:color="auto"/>
      </w:divBdr>
    </w:div>
    <w:div w:id="1600455283">
      <w:bodyDiv w:val="1"/>
      <w:marLeft w:val="0"/>
      <w:marRight w:val="0"/>
      <w:marTop w:val="0"/>
      <w:marBottom w:val="0"/>
      <w:divBdr>
        <w:top w:val="none" w:sz="0" w:space="0" w:color="auto"/>
        <w:left w:val="none" w:sz="0" w:space="0" w:color="auto"/>
        <w:bottom w:val="none" w:sz="0" w:space="0" w:color="auto"/>
        <w:right w:val="none" w:sz="0" w:space="0" w:color="auto"/>
      </w:divBdr>
    </w:div>
    <w:div w:id="1603804321">
      <w:bodyDiv w:val="1"/>
      <w:marLeft w:val="0"/>
      <w:marRight w:val="0"/>
      <w:marTop w:val="0"/>
      <w:marBottom w:val="0"/>
      <w:divBdr>
        <w:top w:val="none" w:sz="0" w:space="0" w:color="auto"/>
        <w:left w:val="none" w:sz="0" w:space="0" w:color="auto"/>
        <w:bottom w:val="none" w:sz="0" w:space="0" w:color="auto"/>
        <w:right w:val="none" w:sz="0" w:space="0" w:color="auto"/>
      </w:divBdr>
    </w:div>
    <w:div w:id="1610353778">
      <w:bodyDiv w:val="1"/>
      <w:marLeft w:val="0"/>
      <w:marRight w:val="0"/>
      <w:marTop w:val="0"/>
      <w:marBottom w:val="0"/>
      <w:divBdr>
        <w:top w:val="none" w:sz="0" w:space="0" w:color="auto"/>
        <w:left w:val="none" w:sz="0" w:space="0" w:color="auto"/>
        <w:bottom w:val="none" w:sz="0" w:space="0" w:color="auto"/>
        <w:right w:val="none" w:sz="0" w:space="0" w:color="auto"/>
      </w:divBdr>
      <w:divsChild>
        <w:div w:id="314721608">
          <w:marLeft w:val="547"/>
          <w:marRight w:val="0"/>
          <w:marTop w:val="0"/>
          <w:marBottom w:val="0"/>
          <w:divBdr>
            <w:top w:val="none" w:sz="0" w:space="0" w:color="auto"/>
            <w:left w:val="none" w:sz="0" w:space="0" w:color="auto"/>
            <w:bottom w:val="none" w:sz="0" w:space="0" w:color="auto"/>
            <w:right w:val="none" w:sz="0" w:space="0" w:color="auto"/>
          </w:divBdr>
        </w:div>
        <w:div w:id="1189174561">
          <w:marLeft w:val="547"/>
          <w:marRight w:val="0"/>
          <w:marTop w:val="0"/>
          <w:marBottom w:val="0"/>
          <w:divBdr>
            <w:top w:val="none" w:sz="0" w:space="0" w:color="auto"/>
            <w:left w:val="none" w:sz="0" w:space="0" w:color="auto"/>
            <w:bottom w:val="none" w:sz="0" w:space="0" w:color="auto"/>
            <w:right w:val="none" w:sz="0" w:space="0" w:color="auto"/>
          </w:divBdr>
        </w:div>
        <w:div w:id="1560553200">
          <w:marLeft w:val="547"/>
          <w:marRight w:val="0"/>
          <w:marTop w:val="0"/>
          <w:marBottom w:val="160"/>
          <w:divBdr>
            <w:top w:val="none" w:sz="0" w:space="0" w:color="auto"/>
            <w:left w:val="none" w:sz="0" w:space="0" w:color="auto"/>
            <w:bottom w:val="none" w:sz="0" w:space="0" w:color="auto"/>
            <w:right w:val="none" w:sz="0" w:space="0" w:color="auto"/>
          </w:divBdr>
        </w:div>
      </w:divsChild>
    </w:div>
    <w:div w:id="1610697297">
      <w:bodyDiv w:val="1"/>
      <w:marLeft w:val="0"/>
      <w:marRight w:val="0"/>
      <w:marTop w:val="0"/>
      <w:marBottom w:val="0"/>
      <w:divBdr>
        <w:top w:val="none" w:sz="0" w:space="0" w:color="auto"/>
        <w:left w:val="none" w:sz="0" w:space="0" w:color="auto"/>
        <w:bottom w:val="none" w:sz="0" w:space="0" w:color="auto"/>
        <w:right w:val="none" w:sz="0" w:space="0" w:color="auto"/>
      </w:divBdr>
    </w:div>
    <w:div w:id="1657297695">
      <w:bodyDiv w:val="1"/>
      <w:marLeft w:val="0"/>
      <w:marRight w:val="0"/>
      <w:marTop w:val="0"/>
      <w:marBottom w:val="0"/>
      <w:divBdr>
        <w:top w:val="none" w:sz="0" w:space="0" w:color="auto"/>
        <w:left w:val="none" w:sz="0" w:space="0" w:color="auto"/>
        <w:bottom w:val="none" w:sz="0" w:space="0" w:color="auto"/>
        <w:right w:val="none" w:sz="0" w:space="0" w:color="auto"/>
      </w:divBdr>
    </w:div>
    <w:div w:id="1680303684">
      <w:bodyDiv w:val="1"/>
      <w:marLeft w:val="0"/>
      <w:marRight w:val="0"/>
      <w:marTop w:val="0"/>
      <w:marBottom w:val="0"/>
      <w:divBdr>
        <w:top w:val="none" w:sz="0" w:space="0" w:color="auto"/>
        <w:left w:val="none" w:sz="0" w:space="0" w:color="auto"/>
        <w:bottom w:val="none" w:sz="0" w:space="0" w:color="auto"/>
        <w:right w:val="none" w:sz="0" w:space="0" w:color="auto"/>
      </w:divBdr>
    </w:div>
    <w:div w:id="1700279636">
      <w:bodyDiv w:val="1"/>
      <w:marLeft w:val="0"/>
      <w:marRight w:val="0"/>
      <w:marTop w:val="0"/>
      <w:marBottom w:val="0"/>
      <w:divBdr>
        <w:top w:val="none" w:sz="0" w:space="0" w:color="auto"/>
        <w:left w:val="none" w:sz="0" w:space="0" w:color="auto"/>
        <w:bottom w:val="none" w:sz="0" w:space="0" w:color="auto"/>
        <w:right w:val="none" w:sz="0" w:space="0" w:color="auto"/>
      </w:divBdr>
      <w:divsChild>
        <w:div w:id="244414104">
          <w:marLeft w:val="749"/>
          <w:marRight w:val="0"/>
          <w:marTop w:val="0"/>
          <w:marBottom w:val="0"/>
          <w:divBdr>
            <w:top w:val="none" w:sz="0" w:space="0" w:color="auto"/>
            <w:left w:val="none" w:sz="0" w:space="0" w:color="auto"/>
            <w:bottom w:val="none" w:sz="0" w:space="0" w:color="auto"/>
            <w:right w:val="none" w:sz="0" w:space="0" w:color="auto"/>
          </w:divBdr>
        </w:div>
        <w:div w:id="1344166356">
          <w:marLeft w:val="749"/>
          <w:marRight w:val="0"/>
          <w:marTop w:val="0"/>
          <w:marBottom w:val="0"/>
          <w:divBdr>
            <w:top w:val="none" w:sz="0" w:space="0" w:color="auto"/>
            <w:left w:val="none" w:sz="0" w:space="0" w:color="auto"/>
            <w:bottom w:val="none" w:sz="0" w:space="0" w:color="auto"/>
            <w:right w:val="none" w:sz="0" w:space="0" w:color="auto"/>
          </w:divBdr>
        </w:div>
        <w:div w:id="1109158850">
          <w:marLeft w:val="749"/>
          <w:marRight w:val="0"/>
          <w:marTop w:val="0"/>
          <w:marBottom w:val="0"/>
          <w:divBdr>
            <w:top w:val="none" w:sz="0" w:space="0" w:color="auto"/>
            <w:left w:val="none" w:sz="0" w:space="0" w:color="auto"/>
            <w:bottom w:val="none" w:sz="0" w:space="0" w:color="auto"/>
            <w:right w:val="none" w:sz="0" w:space="0" w:color="auto"/>
          </w:divBdr>
        </w:div>
        <w:div w:id="741292275">
          <w:marLeft w:val="749"/>
          <w:marRight w:val="0"/>
          <w:marTop w:val="0"/>
          <w:marBottom w:val="0"/>
          <w:divBdr>
            <w:top w:val="none" w:sz="0" w:space="0" w:color="auto"/>
            <w:left w:val="none" w:sz="0" w:space="0" w:color="auto"/>
            <w:bottom w:val="none" w:sz="0" w:space="0" w:color="auto"/>
            <w:right w:val="none" w:sz="0" w:space="0" w:color="auto"/>
          </w:divBdr>
        </w:div>
        <w:div w:id="1888224085">
          <w:marLeft w:val="749"/>
          <w:marRight w:val="0"/>
          <w:marTop w:val="0"/>
          <w:marBottom w:val="0"/>
          <w:divBdr>
            <w:top w:val="none" w:sz="0" w:space="0" w:color="auto"/>
            <w:left w:val="none" w:sz="0" w:space="0" w:color="auto"/>
            <w:bottom w:val="none" w:sz="0" w:space="0" w:color="auto"/>
            <w:right w:val="none" w:sz="0" w:space="0" w:color="auto"/>
          </w:divBdr>
        </w:div>
      </w:divsChild>
    </w:div>
    <w:div w:id="1714884843">
      <w:bodyDiv w:val="1"/>
      <w:marLeft w:val="0"/>
      <w:marRight w:val="0"/>
      <w:marTop w:val="0"/>
      <w:marBottom w:val="0"/>
      <w:divBdr>
        <w:top w:val="none" w:sz="0" w:space="0" w:color="auto"/>
        <w:left w:val="none" w:sz="0" w:space="0" w:color="auto"/>
        <w:bottom w:val="none" w:sz="0" w:space="0" w:color="auto"/>
        <w:right w:val="none" w:sz="0" w:space="0" w:color="auto"/>
      </w:divBdr>
    </w:div>
    <w:div w:id="1750150207">
      <w:bodyDiv w:val="1"/>
      <w:marLeft w:val="0"/>
      <w:marRight w:val="0"/>
      <w:marTop w:val="0"/>
      <w:marBottom w:val="0"/>
      <w:divBdr>
        <w:top w:val="none" w:sz="0" w:space="0" w:color="auto"/>
        <w:left w:val="none" w:sz="0" w:space="0" w:color="auto"/>
        <w:bottom w:val="none" w:sz="0" w:space="0" w:color="auto"/>
        <w:right w:val="none" w:sz="0" w:space="0" w:color="auto"/>
      </w:divBdr>
    </w:div>
    <w:div w:id="1765419041">
      <w:bodyDiv w:val="1"/>
      <w:marLeft w:val="0"/>
      <w:marRight w:val="0"/>
      <w:marTop w:val="0"/>
      <w:marBottom w:val="0"/>
      <w:divBdr>
        <w:top w:val="none" w:sz="0" w:space="0" w:color="auto"/>
        <w:left w:val="none" w:sz="0" w:space="0" w:color="auto"/>
        <w:bottom w:val="none" w:sz="0" w:space="0" w:color="auto"/>
        <w:right w:val="none" w:sz="0" w:space="0" w:color="auto"/>
      </w:divBdr>
    </w:div>
    <w:div w:id="1778254023">
      <w:bodyDiv w:val="1"/>
      <w:marLeft w:val="0"/>
      <w:marRight w:val="0"/>
      <w:marTop w:val="0"/>
      <w:marBottom w:val="0"/>
      <w:divBdr>
        <w:top w:val="none" w:sz="0" w:space="0" w:color="auto"/>
        <w:left w:val="none" w:sz="0" w:space="0" w:color="auto"/>
        <w:bottom w:val="none" w:sz="0" w:space="0" w:color="auto"/>
        <w:right w:val="none" w:sz="0" w:space="0" w:color="auto"/>
      </w:divBdr>
    </w:div>
    <w:div w:id="180480789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1">
          <w:marLeft w:val="274"/>
          <w:marRight w:val="0"/>
          <w:marTop w:val="0"/>
          <w:marBottom w:val="0"/>
          <w:divBdr>
            <w:top w:val="none" w:sz="0" w:space="0" w:color="auto"/>
            <w:left w:val="none" w:sz="0" w:space="0" w:color="auto"/>
            <w:bottom w:val="none" w:sz="0" w:space="0" w:color="auto"/>
            <w:right w:val="none" w:sz="0" w:space="0" w:color="auto"/>
          </w:divBdr>
        </w:div>
        <w:div w:id="1810048392">
          <w:marLeft w:val="274"/>
          <w:marRight w:val="0"/>
          <w:marTop w:val="0"/>
          <w:marBottom w:val="0"/>
          <w:divBdr>
            <w:top w:val="none" w:sz="0" w:space="0" w:color="auto"/>
            <w:left w:val="none" w:sz="0" w:space="0" w:color="auto"/>
            <w:bottom w:val="none" w:sz="0" w:space="0" w:color="auto"/>
            <w:right w:val="none" w:sz="0" w:space="0" w:color="auto"/>
          </w:divBdr>
        </w:div>
        <w:div w:id="2003509690">
          <w:marLeft w:val="274"/>
          <w:marRight w:val="0"/>
          <w:marTop w:val="0"/>
          <w:marBottom w:val="0"/>
          <w:divBdr>
            <w:top w:val="none" w:sz="0" w:space="0" w:color="auto"/>
            <w:left w:val="none" w:sz="0" w:space="0" w:color="auto"/>
            <w:bottom w:val="none" w:sz="0" w:space="0" w:color="auto"/>
            <w:right w:val="none" w:sz="0" w:space="0" w:color="auto"/>
          </w:divBdr>
        </w:div>
      </w:divsChild>
    </w:div>
    <w:div w:id="1868641406">
      <w:bodyDiv w:val="1"/>
      <w:marLeft w:val="0"/>
      <w:marRight w:val="0"/>
      <w:marTop w:val="0"/>
      <w:marBottom w:val="0"/>
      <w:divBdr>
        <w:top w:val="none" w:sz="0" w:space="0" w:color="auto"/>
        <w:left w:val="none" w:sz="0" w:space="0" w:color="auto"/>
        <w:bottom w:val="none" w:sz="0" w:space="0" w:color="auto"/>
        <w:right w:val="none" w:sz="0" w:space="0" w:color="auto"/>
      </w:divBdr>
    </w:div>
    <w:div w:id="1914044468">
      <w:bodyDiv w:val="1"/>
      <w:marLeft w:val="0"/>
      <w:marRight w:val="0"/>
      <w:marTop w:val="0"/>
      <w:marBottom w:val="0"/>
      <w:divBdr>
        <w:top w:val="none" w:sz="0" w:space="0" w:color="auto"/>
        <w:left w:val="none" w:sz="0" w:space="0" w:color="auto"/>
        <w:bottom w:val="none" w:sz="0" w:space="0" w:color="auto"/>
        <w:right w:val="none" w:sz="0" w:space="0" w:color="auto"/>
      </w:divBdr>
    </w:div>
    <w:div w:id="1915117977">
      <w:bodyDiv w:val="1"/>
      <w:marLeft w:val="0"/>
      <w:marRight w:val="0"/>
      <w:marTop w:val="0"/>
      <w:marBottom w:val="0"/>
      <w:divBdr>
        <w:top w:val="none" w:sz="0" w:space="0" w:color="auto"/>
        <w:left w:val="none" w:sz="0" w:space="0" w:color="auto"/>
        <w:bottom w:val="none" w:sz="0" w:space="0" w:color="auto"/>
        <w:right w:val="none" w:sz="0" w:space="0" w:color="auto"/>
      </w:divBdr>
    </w:div>
    <w:div w:id="1919288358">
      <w:bodyDiv w:val="1"/>
      <w:marLeft w:val="0"/>
      <w:marRight w:val="0"/>
      <w:marTop w:val="0"/>
      <w:marBottom w:val="0"/>
      <w:divBdr>
        <w:top w:val="none" w:sz="0" w:space="0" w:color="auto"/>
        <w:left w:val="none" w:sz="0" w:space="0" w:color="auto"/>
        <w:bottom w:val="none" w:sz="0" w:space="0" w:color="auto"/>
        <w:right w:val="none" w:sz="0" w:space="0" w:color="auto"/>
      </w:divBdr>
    </w:div>
    <w:div w:id="1991860920">
      <w:bodyDiv w:val="1"/>
      <w:marLeft w:val="0"/>
      <w:marRight w:val="0"/>
      <w:marTop w:val="0"/>
      <w:marBottom w:val="0"/>
      <w:divBdr>
        <w:top w:val="none" w:sz="0" w:space="0" w:color="auto"/>
        <w:left w:val="none" w:sz="0" w:space="0" w:color="auto"/>
        <w:bottom w:val="none" w:sz="0" w:space="0" w:color="auto"/>
        <w:right w:val="none" w:sz="0" w:space="0" w:color="auto"/>
      </w:divBdr>
    </w:div>
    <w:div w:id="2001499563">
      <w:bodyDiv w:val="1"/>
      <w:marLeft w:val="0"/>
      <w:marRight w:val="0"/>
      <w:marTop w:val="0"/>
      <w:marBottom w:val="0"/>
      <w:divBdr>
        <w:top w:val="none" w:sz="0" w:space="0" w:color="auto"/>
        <w:left w:val="none" w:sz="0" w:space="0" w:color="auto"/>
        <w:bottom w:val="none" w:sz="0" w:space="0" w:color="auto"/>
        <w:right w:val="none" w:sz="0" w:space="0" w:color="auto"/>
      </w:divBdr>
    </w:div>
    <w:div w:id="2013020162">
      <w:bodyDiv w:val="1"/>
      <w:marLeft w:val="0"/>
      <w:marRight w:val="0"/>
      <w:marTop w:val="0"/>
      <w:marBottom w:val="0"/>
      <w:divBdr>
        <w:top w:val="none" w:sz="0" w:space="0" w:color="auto"/>
        <w:left w:val="none" w:sz="0" w:space="0" w:color="auto"/>
        <w:bottom w:val="none" w:sz="0" w:space="0" w:color="auto"/>
        <w:right w:val="none" w:sz="0" w:space="0" w:color="auto"/>
      </w:divBdr>
    </w:div>
    <w:div w:id="2017687378">
      <w:bodyDiv w:val="1"/>
      <w:marLeft w:val="0"/>
      <w:marRight w:val="0"/>
      <w:marTop w:val="0"/>
      <w:marBottom w:val="0"/>
      <w:divBdr>
        <w:top w:val="none" w:sz="0" w:space="0" w:color="auto"/>
        <w:left w:val="none" w:sz="0" w:space="0" w:color="auto"/>
        <w:bottom w:val="none" w:sz="0" w:space="0" w:color="auto"/>
        <w:right w:val="none" w:sz="0" w:space="0" w:color="auto"/>
      </w:divBdr>
    </w:div>
    <w:div w:id="2033726819">
      <w:bodyDiv w:val="1"/>
      <w:marLeft w:val="0"/>
      <w:marRight w:val="0"/>
      <w:marTop w:val="0"/>
      <w:marBottom w:val="0"/>
      <w:divBdr>
        <w:top w:val="none" w:sz="0" w:space="0" w:color="auto"/>
        <w:left w:val="none" w:sz="0" w:space="0" w:color="auto"/>
        <w:bottom w:val="none" w:sz="0" w:space="0" w:color="auto"/>
        <w:right w:val="none" w:sz="0" w:space="0" w:color="auto"/>
      </w:divBdr>
    </w:div>
    <w:div w:id="2069720654">
      <w:bodyDiv w:val="1"/>
      <w:marLeft w:val="0"/>
      <w:marRight w:val="0"/>
      <w:marTop w:val="0"/>
      <w:marBottom w:val="0"/>
      <w:divBdr>
        <w:top w:val="none" w:sz="0" w:space="0" w:color="auto"/>
        <w:left w:val="none" w:sz="0" w:space="0" w:color="auto"/>
        <w:bottom w:val="none" w:sz="0" w:space="0" w:color="auto"/>
        <w:right w:val="none" w:sz="0" w:space="0" w:color="auto"/>
      </w:divBdr>
    </w:div>
    <w:div w:id="2071537807">
      <w:bodyDiv w:val="1"/>
      <w:marLeft w:val="0"/>
      <w:marRight w:val="0"/>
      <w:marTop w:val="0"/>
      <w:marBottom w:val="0"/>
      <w:divBdr>
        <w:top w:val="none" w:sz="0" w:space="0" w:color="auto"/>
        <w:left w:val="none" w:sz="0" w:space="0" w:color="auto"/>
        <w:bottom w:val="none" w:sz="0" w:space="0" w:color="auto"/>
        <w:right w:val="none" w:sz="0" w:space="0" w:color="auto"/>
      </w:divBdr>
    </w:div>
    <w:div w:id="2086489009">
      <w:bodyDiv w:val="1"/>
      <w:marLeft w:val="0"/>
      <w:marRight w:val="0"/>
      <w:marTop w:val="0"/>
      <w:marBottom w:val="0"/>
      <w:divBdr>
        <w:top w:val="none" w:sz="0" w:space="0" w:color="auto"/>
        <w:left w:val="none" w:sz="0" w:space="0" w:color="auto"/>
        <w:bottom w:val="none" w:sz="0" w:space="0" w:color="auto"/>
        <w:right w:val="none" w:sz="0" w:space="0" w:color="auto"/>
      </w:divBdr>
    </w:div>
    <w:div w:id="2113896335">
      <w:bodyDiv w:val="1"/>
      <w:marLeft w:val="0"/>
      <w:marRight w:val="0"/>
      <w:marTop w:val="0"/>
      <w:marBottom w:val="0"/>
      <w:divBdr>
        <w:top w:val="none" w:sz="0" w:space="0" w:color="auto"/>
        <w:left w:val="none" w:sz="0" w:space="0" w:color="auto"/>
        <w:bottom w:val="none" w:sz="0" w:space="0" w:color="auto"/>
        <w:right w:val="none" w:sz="0" w:space="0" w:color="auto"/>
      </w:divBdr>
    </w:div>
    <w:div w:id="2126656160">
      <w:bodyDiv w:val="1"/>
      <w:marLeft w:val="0"/>
      <w:marRight w:val="0"/>
      <w:marTop w:val="0"/>
      <w:marBottom w:val="0"/>
      <w:divBdr>
        <w:top w:val="none" w:sz="0" w:space="0" w:color="auto"/>
        <w:left w:val="none" w:sz="0" w:space="0" w:color="auto"/>
        <w:bottom w:val="none" w:sz="0" w:space="0" w:color="auto"/>
        <w:right w:val="none" w:sz="0" w:space="0" w:color="auto"/>
      </w:divBdr>
    </w:div>
    <w:div w:id="21466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9B3431BDB7B41847BE83B72656FDD" ma:contentTypeVersion="12" ma:contentTypeDescription="Create a new document." ma:contentTypeScope="" ma:versionID="97f9723b8fe51a5ec1effc700399f1c4">
  <xsd:schema xmlns:xsd="http://www.w3.org/2001/XMLSchema" xmlns:xs="http://www.w3.org/2001/XMLSchema" xmlns:p="http://schemas.microsoft.com/office/2006/metadata/properties" xmlns:ns3="e5626dff-b170-45d6-84d9-8aa51a99e51d" xmlns:ns4="0bc8340c-919d-42b9-ab45-114441ba4401" targetNamespace="http://schemas.microsoft.com/office/2006/metadata/properties" ma:root="true" ma:fieldsID="20d617a81ef40b08c737a421dae6e5b1" ns3:_="" ns4:_="">
    <xsd:import namespace="e5626dff-b170-45d6-84d9-8aa51a99e51d"/>
    <xsd:import namespace="0bc8340c-919d-42b9-ab45-114441ba44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6dff-b170-45d6-84d9-8aa51a99e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8340c-919d-42b9-ab45-114441ba44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A908A-785C-479F-9808-BCE967ACAF13}">
  <ds:schemaRefs>
    <ds:schemaRef ds:uri="http://schemas.microsoft.com/sharepoint/v3/contenttype/forms"/>
  </ds:schemaRefs>
</ds:datastoreItem>
</file>

<file path=customXml/itemProps2.xml><?xml version="1.0" encoding="utf-8"?>
<ds:datastoreItem xmlns:ds="http://schemas.openxmlformats.org/officeDocument/2006/customXml" ds:itemID="{EB64750E-2689-4ECC-A63B-9747D28A3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2F7F4-5B7C-485B-AD40-624D5A62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6dff-b170-45d6-84d9-8aa51a99e51d"/>
    <ds:schemaRef ds:uri="0bc8340c-919d-42b9-ab45-114441ba4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3500</Words>
  <Characters>17257</Characters>
  <Application>Microsoft Office Word</Application>
  <DocSecurity>0</DocSecurity>
  <Lines>243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Barnaby</dc:creator>
  <cp:keywords/>
  <dc:description/>
  <cp:lastModifiedBy>TMF Team</cp:lastModifiedBy>
  <cp:revision>6</cp:revision>
  <dcterms:created xsi:type="dcterms:W3CDTF">2020-09-15T19:13:00Z</dcterms:created>
  <dcterms:modified xsi:type="dcterms:W3CDTF">2020-09-15T19:38:00Z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0x0101006BC9B3431BDB7B41847BE83B72656FDD</vt:lpwstr>
  </property>
</Properties>
</file>